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5E" w:rsidRDefault="00F16439">
      <w:pPr>
        <w:spacing w:after="0" w:line="360" w:lineRule="auto"/>
        <w:jc w:val="center"/>
        <w:rPr>
          <w:b/>
          <w:sz w:val="36"/>
          <w:szCs w:val="36"/>
        </w:rPr>
      </w:pPr>
      <w:r>
        <w:rPr>
          <w:b/>
          <w:sz w:val="36"/>
          <w:szCs w:val="36"/>
        </w:rPr>
        <w:t>APPEL D’OFFRE NATIONAL</w:t>
      </w:r>
    </w:p>
    <w:p w:rsidR="00084B5E" w:rsidRDefault="00F16439" w:rsidP="00C55BF0">
      <w:pPr>
        <w:spacing w:after="0" w:line="360" w:lineRule="auto"/>
        <w:jc w:val="center"/>
        <w:rPr>
          <w:sz w:val="24"/>
          <w:szCs w:val="24"/>
        </w:rPr>
      </w:pPr>
      <w:r>
        <w:rPr>
          <w:b/>
          <w:sz w:val="36"/>
          <w:szCs w:val="36"/>
        </w:rPr>
        <w:t>CARISMED</w:t>
      </w:r>
    </w:p>
    <w:p w:rsidR="00084B5E" w:rsidRPr="00C55BF0" w:rsidRDefault="00F16439" w:rsidP="00C55BF0">
      <w:pPr>
        <w:spacing w:after="0" w:line="360" w:lineRule="auto"/>
        <w:jc w:val="center"/>
        <w:rPr>
          <w:b/>
          <w:sz w:val="36"/>
          <w:szCs w:val="36"/>
        </w:rPr>
      </w:pPr>
      <w:r w:rsidRPr="00C55BF0">
        <w:rPr>
          <w:b/>
          <w:sz w:val="36"/>
          <w:szCs w:val="36"/>
        </w:rPr>
        <w:t>Termes de Références</w:t>
      </w:r>
    </w:p>
    <w:p w:rsidR="00084B5E" w:rsidRDefault="00F16439">
      <w:pPr>
        <w:spacing w:line="360" w:lineRule="auto"/>
        <w:jc w:val="both"/>
        <w:rPr>
          <w:b/>
          <w:sz w:val="24"/>
          <w:szCs w:val="24"/>
          <w:u w:val="single"/>
        </w:rPr>
      </w:pPr>
      <w:r>
        <w:rPr>
          <w:b/>
          <w:sz w:val="24"/>
          <w:szCs w:val="24"/>
          <w:u w:val="single"/>
        </w:rPr>
        <w:t>Contexte du projet :</w:t>
      </w:r>
    </w:p>
    <w:p w:rsidR="00084B5E" w:rsidRDefault="00F16439">
      <w:pPr>
        <w:spacing w:line="360" w:lineRule="auto"/>
        <w:jc w:val="both"/>
        <w:rPr>
          <w:sz w:val="24"/>
          <w:szCs w:val="24"/>
        </w:rPr>
      </w:pPr>
      <w:r>
        <w:rPr>
          <w:sz w:val="24"/>
          <w:szCs w:val="24"/>
        </w:rPr>
        <w:t>Le projet CARISMED – financé dans le cadre du projet ENI CBC MED dont le but est de développer une politique urbaine pour améliorer la durabilité et intégrer l'innovation dans le cadre urbain des villes méditerranéennes afin de restructurer efficacement les conditions de vie et de travail.</w:t>
      </w:r>
    </w:p>
    <w:p w:rsidR="00084B5E" w:rsidRDefault="00F16439">
      <w:pPr>
        <w:spacing w:line="360" w:lineRule="auto"/>
        <w:jc w:val="both"/>
        <w:rPr>
          <w:sz w:val="24"/>
          <w:szCs w:val="24"/>
        </w:rPr>
      </w:pPr>
      <w:r>
        <w:rPr>
          <w:sz w:val="24"/>
          <w:szCs w:val="24"/>
        </w:rPr>
        <w:t>Ce but sera atteint à travers :</w:t>
      </w:r>
    </w:p>
    <w:p w:rsidR="00084B5E" w:rsidRDefault="00F16439">
      <w:pPr>
        <w:numPr>
          <w:ilvl w:val="0"/>
          <w:numId w:val="5"/>
        </w:numPr>
        <w:spacing w:after="0" w:line="360" w:lineRule="auto"/>
        <w:jc w:val="both"/>
        <w:rPr>
          <w:sz w:val="24"/>
          <w:szCs w:val="24"/>
        </w:rPr>
      </w:pPr>
      <w:r>
        <w:rPr>
          <w:sz w:val="24"/>
          <w:szCs w:val="24"/>
        </w:rPr>
        <w:t>La promotion des approches et méthodologies d’économie circulaire innovantes pour redéfinir l'environnement bâti dans les villes méditerranéennes ;</w:t>
      </w:r>
    </w:p>
    <w:p w:rsidR="00084B5E" w:rsidRDefault="00F16439">
      <w:pPr>
        <w:numPr>
          <w:ilvl w:val="0"/>
          <w:numId w:val="5"/>
        </w:numPr>
        <w:spacing w:after="0" w:line="360" w:lineRule="auto"/>
        <w:jc w:val="both"/>
        <w:rPr>
          <w:sz w:val="24"/>
          <w:szCs w:val="24"/>
        </w:rPr>
      </w:pPr>
      <w:r>
        <w:rPr>
          <w:sz w:val="24"/>
          <w:szCs w:val="24"/>
        </w:rPr>
        <w:t>La mise en place d'ateliers créatifs pilotes ciblés aux niveaux régional et national afin d'atteindre et d'impliquer de nouveaux groupes cibles de parties prenantes par le biais de la sensibilisation et de la défense de l'expertise des décideurs politiques, des autorités locales, des principales parties prenantes du secteur, des organisations et des PME, au niveau transfrontalier ;</w:t>
      </w:r>
    </w:p>
    <w:p w:rsidR="00084B5E" w:rsidRDefault="00F16439">
      <w:pPr>
        <w:numPr>
          <w:ilvl w:val="0"/>
          <w:numId w:val="5"/>
        </w:numPr>
        <w:spacing w:line="360" w:lineRule="auto"/>
        <w:jc w:val="both"/>
        <w:rPr>
          <w:sz w:val="24"/>
          <w:szCs w:val="24"/>
        </w:rPr>
      </w:pPr>
      <w:r>
        <w:rPr>
          <w:sz w:val="24"/>
          <w:szCs w:val="24"/>
        </w:rPr>
        <w:t>L’utilisation des plates-formes d'apprentissage en ligne asynchrones où les résultats de la mise en commun des connaissances et des ressources favorisent l'intégration des bonnes pratiques vers des principes centraux pour la planification des interventions, améliorent la durabilité et intègrent l'innovation des PME des ICC se regroupant dans le cadre urbain des cités méditerranéennes.</w:t>
      </w:r>
    </w:p>
    <w:p w:rsidR="00084B5E" w:rsidRDefault="00F16439">
      <w:pPr>
        <w:spacing w:line="360" w:lineRule="auto"/>
        <w:jc w:val="both"/>
        <w:rPr>
          <w:b/>
          <w:sz w:val="24"/>
          <w:szCs w:val="24"/>
          <w:u w:val="single"/>
        </w:rPr>
      </w:pPr>
      <w:r>
        <w:rPr>
          <w:b/>
          <w:sz w:val="24"/>
          <w:szCs w:val="24"/>
          <w:u w:val="single"/>
        </w:rPr>
        <w:t xml:space="preserve">Objectifs de l’appel : </w:t>
      </w:r>
    </w:p>
    <w:p w:rsidR="00084B5E" w:rsidRDefault="00F16439">
      <w:pPr>
        <w:spacing w:line="360" w:lineRule="auto"/>
        <w:jc w:val="both"/>
        <w:rPr>
          <w:sz w:val="24"/>
          <w:szCs w:val="24"/>
        </w:rPr>
      </w:pPr>
      <w:r>
        <w:rPr>
          <w:sz w:val="24"/>
          <w:szCs w:val="24"/>
        </w:rPr>
        <w:t>Le présent Marché a pour objectif de sélectionner un prestataire de service qui sera en charge de supporter la bonne tenue de la communication du projet CARISMED en Tunisie.</w:t>
      </w:r>
    </w:p>
    <w:p w:rsidR="00084B5E" w:rsidRDefault="00F16439">
      <w:pPr>
        <w:spacing w:line="360" w:lineRule="auto"/>
        <w:jc w:val="both"/>
        <w:rPr>
          <w:b/>
          <w:sz w:val="24"/>
          <w:szCs w:val="24"/>
          <w:u w:val="single"/>
        </w:rPr>
      </w:pPr>
      <w:r>
        <w:rPr>
          <w:b/>
          <w:sz w:val="24"/>
          <w:szCs w:val="24"/>
          <w:u w:val="single"/>
        </w:rPr>
        <w:t>Le Marché :</w:t>
      </w:r>
    </w:p>
    <w:p w:rsidR="00084B5E" w:rsidRDefault="00F16439">
      <w:pPr>
        <w:spacing w:line="360" w:lineRule="auto"/>
        <w:jc w:val="both"/>
        <w:rPr>
          <w:sz w:val="24"/>
          <w:szCs w:val="24"/>
        </w:rPr>
      </w:pPr>
      <w:r>
        <w:rPr>
          <w:sz w:val="24"/>
          <w:szCs w:val="24"/>
        </w:rPr>
        <w:lastRenderedPageBreak/>
        <w:t>Le Collectif Créatif, ci-après dénommé « l'Acheteur », dans le cadre du Projet CARISMED financé par ENICBC MED, invite maintenant les offres cachetées de la part des fournisseurs pour le marché suivant :</w:t>
      </w:r>
    </w:p>
    <w:p w:rsidR="00084B5E" w:rsidRDefault="00F16439">
      <w:pPr>
        <w:numPr>
          <w:ilvl w:val="0"/>
          <w:numId w:val="1"/>
        </w:numPr>
        <w:spacing w:after="0" w:line="360" w:lineRule="auto"/>
        <w:jc w:val="both"/>
        <w:rPr>
          <w:sz w:val="24"/>
          <w:szCs w:val="24"/>
        </w:rPr>
      </w:pPr>
      <w:r>
        <w:rPr>
          <w:sz w:val="24"/>
          <w:szCs w:val="24"/>
        </w:rPr>
        <w:t xml:space="preserve">Acquisition de services de </w:t>
      </w:r>
      <w:proofErr w:type="spellStart"/>
      <w:r>
        <w:rPr>
          <w:sz w:val="24"/>
          <w:szCs w:val="24"/>
        </w:rPr>
        <w:t>print</w:t>
      </w:r>
      <w:proofErr w:type="spellEnd"/>
      <w:r>
        <w:rPr>
          <w:sz w:val="24"/>
          <w:szCs w:val="24"/>
        </w:rPr>
        <w:t xml:space="preserve"> et de communication :</w:t>
      </w:r>
    </w:p>
    <w:p w:rsidR="00084B5E" w:rsidRDefault="00F16439">
      <w:pPr>
        <w:numPr>
          <w:ilvl w:val="0"/>
          <w:numId w:val="2"/>
        </w:numPr>
        <w:spacing w:after="0" w:line="360" w:lineRule="auto"/>
        <w:jc w:val="both"/>
        <w:rPr>
          <w:sz w:val="24"/>
          <w:szCs w:val="24"/>
        </w:rPr>
      </w:pPr>
      <w:r>
        <w:rPr>
          <w:sz w:val="24"/>
          <w:szCs w:val="24"/>
        </w:rPr>
        <w:t>Impression de 1000 exemplaires de dépliants du projet CARISMED ;</w:t>
      </w:r>
    </w:p>
    <w:p w:rsidR="00084B5E" w:rsidRDefault="00F16439">
      <w:pPr>
        <w:numPr>
          <w:ilvl w:val="0"/>
          <w:numId w:val="2"/>
        </w:numPr>
        <w:spacing w:after="0" w:line="360" w:lineRule="auto"/>
        <w:jc w:val="both"/>
        <w:rPr>
          <w:sz w:val="24"/>
          <w:szCs w:val="24"/>
        </w:rPr>
      </w:pPr>
      <w:r>
        <w:rPr>
          <w:sz w:val="24"/>
          <w:szCs w:val="24"/>
        </w:rPr>
        <w:t>Impression d’une (01) bannière du projet CARISMED ;</w:t>
      </w:r>
    </w:p>
    <w:p w:rsidR="00084B5E" w:rsidRDefault="00F16439">
      <w:pPr>
        <w:numPr>
          <w:ilvl w:val="0"/>
          <w:numId w:val="2"/>
        </w:numPr>
        <w:spacing w:after="0" w:line="360" w:lineRule="auto"/>
        <w:jc w:val="both"/>
        <w:rPr>
          <w:sz w:val="24"/>
          <w:szCs w:val="24"/>
        </w:rPr>
      </w:pPr>
      <w:r>
        <w:rPr>
          <w:sz w:val="24"/>
          <w:szCs w:val="24"/>
        </w:rPr>
        <w:t>La conception de deux posters du projet CARISMED ;</w:t>
      </w:r>
    </w:p>
    <w:p w:rsidR="00084B5E" w:rsidRDefault="00F16439">
      <w:pPr>
        <w:numPr>
          <w:ilvl w:val="0"/>
          <w:numId w:val="2"/>
        </w:numPr>
        <w:spacing w:line="360" w:lineRule="auto"/>
        <w:jc w:val="both"/>
        <w:rPr>
          <w:sz w:val="24"/>
          <w:szCs w:val="24"/>
        </w:rPr>
      </w:pPr>
      <w:r>
        <w:rPr>
          <w:sz w:val="24"/>
          <w:szCs w:val="24"/>
        </w:rPr>
        <w:t>La production de quatre (04 vidéos) en relation avec l’implémentation du projet CARISMED en Tunisie ;</w:t>
      </w:r>
    </w:p>
    <w:p w:rsidR="00084B5E" w:rsidRDefault="00F16439">
      <w:pPr>
        <w:spacing w:line="360" w:lineRule="auto"/>
        <w:jc w:val="both"/>
        <w:rPr>
          <w:sz w:val="24"/>
          <w:szCs w:val="24"/>
        </w:rPr>
      </w:pPr>
      <w:r>
        <w:rPr>
          <w:sz w:val="24"/>
          <w:szCs w:val="24"/>
        </w:rPr>
        <w:t>Toutes les livrables de cette prestation de services seront la propriété exclusive de l’association Collectif Créatif, qui pourra, sous quelque forme que ce soit, les distribuer, les diffuser, ou les communiquer. En revanche, le titulaire du Marché ne peut les distribuer, les diffuser, ou les communiquer sous quelque forme que ce soit sans le consentement préalable et écrit de l’acheteur.</w:t>
      </w:r>
    </w:p>
    <w:p w:rsidR="00084B5E" w:rsidRDefault="00F16439">
      <w:pPr>
        <w:spacing w:line="360" w:lineRule="auto"/>
        <w:jc w:val="both"/>
        <w:rPr>
          <w:b/>
          <w:sz w:val="24"/>
          <w:szCs w:val="24"/>
          <w:u w:val="single"/>
        </w:rPr>
      </w:pPr>
      <w:r>
        <w:rPr>
          <w:b/>
          <w:sz w:val="24"/>
          <w:szCs w:val="24"/>
          <w:u w:val="single"/>
        </w:rPr>
        <w:t xml:space="preserve">Durée : </w:t>
      </w:r>
    </w:p>
    <w:p w:rsidR="00084B5E" w:rsidRDefault="00F16439">
      <w:pPr>
        <w:spacing w:line="360" w:lineRule="auto"/>
        <w:jc w:val="both"/>
        <w:rPr>
          <w:sz w:val="24"/>
          <w:szCs w:val="24"/>
        </w:rPr>
      </w:pPr>
      <w:r>
        <w:rPr>
          <w:sz w:val="24"/>
          <w:szCs w:val="24"/>
        </w:rPr>
        <w:t xml:space="preserve">Les services demandés auront pour </w:t>
      </w:r>
      <w:r w:rsidR="00B905B4">
        <w:rPr>
          <w:sz w:val="24"/>
          <w:szCs w:val="24"/>
        </w:rPr>
        <w:t xml:space="preserve">une </w:t>
      </w:r>
      <w:r>
        <w:rPr>
          <w:sz w:val="24"/>
          <w:szCs w:val="24"/>
        </w:rPr>
        <w:t xml:space="preserve">durée 19 mois à compter du mois de Mai </w:t>
      </w:r>
      <w:proofErr w:type="gramStart"/>
      <w:r>
        <w:rPr>
          <w:sz w:val="24"/>
          <w:szCs w:val="24"/>
        </w:rPr>
        <w:t>2022 .</w:t>
      </w:r>
      <w:proofErr w:type="gramEnd"/>
    </w:p>
    <w:p w:rsidR="00084B5E" w:rsidRDefault="00F16439">
      <w:pPr>
        <w:spacing w:line="360" w:lineRule="auto"/>
        <w:jc w:val="both"/>
        <w:rPr>
          <w:sz w:val="24"/>
          <w:szCs w:val="24"/>
        </w:rPr>
      </w:pPr>
      <w:r>
        <w:rPr>
          <w:b/>
          <w:sz w:val="24"/>
          <w:szCs w:val="24"/>
          <w:u w:val="single"/>
        </w:rPr>
        <w:t xml:space="preserve">Livrables : </w:t>
      </w:r>
    </w:p>
    <w:p w:rsidR="00084B5E" w:rsidRDefault="00F16439">
      <w:pPr>
        <w:spacing w:line="360" w:lineRule="auto"/>
        <w:jc w:val="both"/>
        <w:rPr>
          <w:sz w:val="24"/>
          <w:szCs w:val="24"/>
        </w:rPr>
      </w:pPr>
      <w:r>
        <w:rPr>
          <w:sz w:val="24"/>
          <w:szCs w:val="24"/>
        </w:rPr>
        <w:t xml:space="preserve">Les livrables seront convenus par semestre selon la </w:t>
      </w:r>
      <w:proofErr w:type="spellStart"/>
      <w:r>
        <w:rPr>
          <w:sz w:val="24"/>
          <w:szCs w:val="24"/>
        </w:rPr>
        <w:t>timeline</w:t>
      </w:r>
      <w:proofErr w:type="spellEnd"/>
      <w:r>
        <w:rPr>
          <w:sz w:val="24"/>
          <w:szCs w:val="24"/>
        </w:rPr>
        <w:t xml:space="preserve"> du projet.</w:t>
      </w:r>
    </w:p>
    <w:p w:rsidR="00084B5E" w:rsidRDefault="00F16439">
      <w:pPr>
        <w:spacing w:line="360" w:lineRule="auto"/>
        <w:jc w:val="both"/>
        <w:rPr>
          <w:sz w:val="24"/>
          <w:szCs w:val="24"/>
        </w:rPr>
      </w:pPr>
      <w:r>
        <w:rPr>
          <w:b/>
          <w:sz w:val="24"/>
          <w:szCs w:val="24"/>
          <w:u w:val="single"/>
        </w:rPr>
        <w:t xml:space="preserve">Paiement : </w:t>
      </w:r>
    </w:p>
    <w:p w:rsidR="00084B5E" w:rsidRDefault="00084B5E">
      <w:pPr>
        <w:spacing w:line="360" w:lineRule="auto"/>
        <w:jc w:val="both"/>
        <w:rPr>
          <w:sz w:val="24"/>
          <w:szCs w:val="24"/>
        </w:rPr>
      </w:pPr>
    </w:p>
    <w:tbl>
      <w:tblPr>
        <w:tblStyle w:val="a0"/>
        <w:tblW w:w="903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5"/>
        <w:gridCol w:w="1665"/>
      </w:tblGrid>
      <w:tr w:rsidR="00084B5E">
        <w:tc>
          <w:tcPr>
            <w:tcW w:w="73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jc w:val="center"/>
              <w:rPr>
                <w:b/>
                <w:sz w:val="24"/>
                <w:szCs w:val="24"/>
              </w:rPr>
            </w:pPr>
            <w:r>
              <w:rPr>
                <w:b/>
                <w:sz w:val="24"/>
                <w:szCs w:val="24"/>
              </w:rPr>
              <w:t>Echéance de paiement</w:t>
            </w:r>
          </w:p>
        </w:tc>
        <w:tc>
          <w:tcPr>
            <w:tcW w:w="16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jc w:val="center"/>
              <w:rPr>
                <w:b/>
                <w:sz w:val="24"/>
                <w:szCs w:val="24"/>
              </w:rPr>
            </w:pPr>
            <w:r>
              <w:rPr>
                <w:b/>
                <w:sz w:val="24"/>
                <w:szCs w:val="24"/>
              </w:rPr>
              <w:t>Montant</w:t>
            </w:r>
          </w:p>
        </w:tc>
      </w:tr>
      <w:tr w:rsidR="00084B5E">
        <w:tc>
          <w:tcPr>
            <w:tcW w:w="73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rPr>
                <w:sz w:val="24"/>
                <w:szCs w:val="24"/>
              </w:rPr>
            </w:pPr>
            <w:r>
              <w:rPr>
                <w:sz w:val="24"/>
                <w:szCs w:val="24"/>
              </w:rPr>
              <w:t>Signature du contrat</w:t>
            </w:r>
          </w:p>
        </w:tc>
        <w:tc>
          <w:tcPr>
            <w:tcW w:w="16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rPr>
                <w:sz w:val="24"/>
                <w:szCs w:val="24"/>
              </w:rPr>
            </w:pPr>
            <w:r>
              <w:rPr>
                <w:sz w:val="24"/>
                <w:szCs w:val="24"/>
              </w:rPr>
              <w:t>25%</w:t>
            </w:r>
          </w:p>
        </w:tc>
      </w:tr>
      <w:tr w:rsidR="00084B5E">
        <w:tc>
          <w:tcPr>
            <w:tcW w:w="73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rPr>
                <w:sz w:val="24"/>
                <w:szCs w:val="24"/>
              </w:rPr>
            </w:pPr>
            <w:r>
              <w:rPr>
                <w:sz w:val="24"/>
                <w:szCs w:val="24"/>
              </w:rPr>
              <w:t>Validation des livrables du 1er semestre</w:t>
            </w:r>
          </w:p>
        </w:tc>
        <w:tc>
          <w:tcPr>
            <w:tcW w:w="16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rPr>
                <w:sz w:val="24"/>
                <w:szCs w:val="24"/>
              </w:rPr>
            </w:pPr>
            <w:r>
              <w:rPr>
                <w:sz w:val="24"/>
                <w:szCs w:val="24"/>
              </w:rPr>
              <w:t>25%</w:t>
            </w:r>
          </w:p>
        </w:tc>
      </w:tr>
      <w:tr w:rsidR="00084B5E">
        <w:tc>
          <w:tcPr>
            <w:tcW w:w="7365" w:type="dxa"/>
            <w:shd w:val="clear" w:color="auto" w:fill="auto"/>
            <w:tcMar>
              <w:top w:w="100" w:type="dxa"/>
              <w:left w:w="100" w:type="dxa"/>
              <w:bottom w:w="100" w:type="dxa"/>
              <w:right w:w="100" w:type="dxa"/>
            </w:tcMar>
          </w:tcPr>
          <w:p w:rsidR="00084B5E" w:rsidRDefault="00F16439">
            <w:pPr>
              <w:widowControl w:val="0"/>
              <w:spacing w:after="0" w:line="240" w:lineRule="auto"/>
              <w:rPr>
                <w:sz w:val="24"/>
                <w:szCs w:val="24"/>
              </w:rPr>
            </w:pPr>
            <w:r>
              <w:rPr>
                <w:sz w:val="24"/>
                <w:szCs w:val="24"/>
              </w:rPr>
              <w:t>Validation des livrables du 2ᵉ semestre</w:t>
            </w:r>
          </w:p>
        </w:tc>
        <w:tc>
          <w:tcPr>
            <w:tcW w:w="1665" w:type="dxa"/>
            <w:shd w:val="clear" w:color="auto" w:fill="auto"/>
            <w:tcMar>
              <w:top w:w="100" w:type="dxa"/>
              <w:left w:w="100" w:type="dxa"/>
              <w:bottom w:w="100" w:type="dxa"/>
              <w:right w:w="100" w:type="dxa"/>
            </w:tcMar>
          </w:tcPr>
          <w:p w:rsidR="00084B5E" w:rsidRDefault="00F16439">
            <w:pPr>
              <w:widowControl w:val="0"/>
              <w:spacing w:after="0" w:line="240" w:lineRule="auto"/>
              <w:rPr>
                <w:sz w:val="24"/>
                <w:szCs w:val="24"/>
              </w:rPr>
            </w:pPr>
            <w:r>
              <w:rPr>
                <w:sz w:val="24"/>
                <w:szCs w:val="24"/>
              </w:rPr>
              <w:t>25%</w:t>
            </w:r>
          </w:p>
        </w:tc>
      </w:tr>
      <w:tr w:rsidR="00084B5E">
        <w:tc>
          <w:tcPr>
            <w:tcW w:w="7365" w:type="dxa"/>
            <w:shd w:val="clear" w:color="auto" w:fill="auto"/>
            <w:tcMar>
              <w:top w:w="100" w:type="dxa"/>
              <w:left w:w="100" w:type="dxa"/>
              <w:bottom w:w="100" w:type="dxa"/>
              <w:right w:w="100" w:type="dxa"/>
            </w:tcMar>
          </w:tcPr>
          <w:p w:rsidR="00084B5E" w:rsidRDefault="00F16439">
            <w:pPr>
              <w:widowControl w:val="0"/>
              <w:spacing w:after="0" w:line="240" w:lineRule="auto"/>
              <w:rPr>
                <w:sz w:val="24"/>
                <w:szCs w:val="24"/>
              </w:rPr>
            </w:pPr>
            <w:r>
              <w:rPr>
                <w:sz w:val="24"/>
                <w:szCs w:val="24"/>
              </w:rPr>
              <w:t>Validation des livrables du 3e semestre</w:t>
            </w:r>
          </w:p>
        </w:tc>
        <w:tc>
          <w:tcPr>
            <w:tcW w:w="1665" w:type="dxa"/>
            <w:shd w:val="clear" w:color="auto" w:fill="auto"/>
            <w:tcMar>
              <w:top w:w="100" w:type="dxa"/>
              <w:left w:w="100" w:type="dxa"/>
              <w:bottom w:w="100" w:type="dxa"/>
              <w:right w:w="100" w:type="dxa"/>
            </w:tcMar>
          </w:tcPr>
          <w:p w:rsidR="00084B5E" w:rsidRDefault="00F16439">
            <w:pPr>
              <w:widowControl w:val="0"/>
              <w:spacing w:after="0" w:line="240" w:lineRule="auto"/>
              <w:rPr>
                <w:sz w:val="24"/>
                <w:szCs w:val="24"/>
              </w:rPr>
            </w:pPr>
            <w:r>
              <w:rPr>
                <w:sz w:val="24"/>
                <w:szCs w:val="24"/>
              </w:rPr>
              <w:t>15%</w:t>
            </w:r>
          </w:p>
        </w:tc>
      </w:tr>
      <w:tr w:rsidR="00084B5E">
        <w:tc>
          <w:tcPr>
            <w:tcW w:w="73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rPr>
                <w:sz w:val="24"/>
                <w:szCs w:val="24"/>
              </w:rPr>
            </w:pPr>
            <w:r>
              <w:rPr>
                <w:sz w:val="24"/>
                <w:szCs w:val="24"/>
              </w:rPr>
              <w:t>Validation des livrables du 4e semestre</w:t>
            </w:r>
          </w:p>
        </w:tc>
        <w:tc>
          <w:tcPr>
            <w:tcW w:w="1665" w:type="dxa"/>
            <w:shd w:val="clear" w:color="auto" w:fill="auto"/>
            <w:tcMar>
              <w:top w:w="100" w:type="dxa"/>
              <w:left w:w="100" w:type="dxa"/>
              <w:bottom w:w="100" w:type="dxa"/>
              <w:right w:w="100" w:type="dxa"/>
            </w:tcMar>
          </w:tcPr>
          <w:p w:rsidR="00084B5E" w:rsidRDefault="00F16439">
            <w:pPr>
              <w:widowControl w:val="0"/>
              <w:pBdr>
                <w:top w:val="nil"/>
                <w:left w:val="nil"/>
                <w:bottom w:val="nil"/>
                <w:right w:val="nil"/>
                <w:between w:val="nil"/>
              </w:pBdr>
              <w:spacing w:after="0" w:line="240" w:lineRule="auto"/>
              <w:rPr>
                <w:sz w:val="24"/>
                <w:szCs w:val="24"/>
              </w:rPr>
            </w:pPr>
            <w:r>
              <w:rPr>
                <w:sz w:val="24"/>
                <w:szCs w:val="24"/>
              </w:rPr>
              <w:t>10%</w:t>
            </w:r>
          </w:p>
        </w:tc>
      </w:tr>
    </w:tbl>
    <w:p w:rsidR="00084B5E" w:rsidRDefault="00084B5E">
      <w:pPr>
        <w:spacing w:line="360" w:lineRule="auto"/>
        <w:jc w:val="both"/>
        <w:rPr>
          <w:sz w:val="24"/>
          <w:szCs w:val="24"/>
        </w:rPr>
      </w:pPr>
    </w:p>
    <w:p w:rsidR="00084B5E" w:rsidRDefault="00F16439">
      <w:pPr>
        <w:spacing w:line="360" w:lineRule="auto"/>
        <w:jc w:val="both"/>
        <w:rPr>
          <w:b/>
          <w:sz w:val="24"/>
          <w:szCs w:val="24"/>
          <w:u w:val="single"/>
        </w:rPr>
      </w:pPr>
      <w:r>
        <w:rPr>
          <w:b/>
          <w:sz w:val="24"/>
          <w:szCs w:val="24"/>
          <w:u w:val="single"/>
        </w:rPr>
        <w:t>Critères d’éligibilité :</w:t>
      </w:r>
    </w:p>
    <w:p w:rsidR="00084B5E" w:rsidRDefault="00F16439">
      <w:pPr>
        <w:spacing w:line="360" w:lineRule="auto"/>
        <w:jc w:val="both"/>
        <w:rPr>
          <w:sz w:val="24"/>
          <w:szCs w:val="24"/>
        </w:rPr>
      </w:pPr>
      <w:r>
        <w:rPr>
          <w:sz w:val="24"/>
          <w:szCs w:val="24"/>
        </w:rPr>
        <w:t>Les soumissions sont ouvertes aux soumissionnaires basés en Tunisie.</w:t>
      </w:r>
    </w:p>
    <w:p w:rsidR="00084B5E" w:rsidRDefault="00F16439">
      <w:pPr>
        <w:spacing w:line="360" w:lineRule="auto"/>
        <w:jc w:val="both"/>
        <w:rPr>
          <w:sz w:val="24"/>
          <w:szCs w:val="24"/>
        </w:rPr>
      </w:pPr>
      <w:r>
        <w:rPr>
          <w:sz w:val="24"/>
          <w:szCs w:val="24"/>
        </w:rPr>
        <w:t>Pour être admissible à l'attribution de cet appel d’offre national, les soumissionnaires doivent satisfaire aux critères minimaux suivants :</w:t>
      </w:r>
    </w:p>
    <w:p w:rsidR="00084B5E" w:rsidRDefault="00F16439">
      <w:pPr>
        <w:numPr>
          <w:ilvl w:val="0"/>
          <w:numId w:val="3"/>
        </w:numPr>
        <w:spacing w:after="0" w:line="360" w:lineRule="auto"/>
        <w:jc w:val="both"/>
        <w:rPr>
          <w:sz w:val="24"/>
          <w:szCs w:val="24"/>
        </w:rPr>
      </w:pPr>
      <w:r>
        <w:rPr>
          <w:sz w:val="24"/>
          <w:szCs w:val="24"/>
        </w:rPr>
        <w:t xml:space="preserve">Structure légalement enregistrée en Tunisie </w:t>
      </w:r>
      <w:r w:rsidR="00A54C90">
        <w:rPr>
          <w:sz w:val="24"/>
          <w:szCs w:val="24"/>
        </w:rPr>
        <w:t xml:space="preserve">(ou une personne physique ayant une patente qui date de deux ans minimum) </w:t>
      </w:r>
      <w:r>
        <w:rPr>
          <w:sz w:val="24"/>
          <w:szCs w:val="24"/>
        </w:rPr>
        <w:t>en règle avec la législation tunisienne ;</w:t>
      </w:r>
      <w:r w:rsidR="00A54C90">
        <w:rPr>
          <w:sz w:val="24"/>
          <w:szCs w:val="24"/>
        </w:rPr>
        <w:t xml:space="preserve"> (critère éliminatoire) (10 pts)</w:t>
      </w:r>
    </w:p>
    <w:p w:rsidR="00084B5E" w:rsidRDefault="00F16439">
      <w:pPr>
        <w:numPr>
          <w:ilvl w:val="0"/>
          <w:numId w:val="3"/>
        </w:numPr>
        <w:spacing w:after="0" w:line="360" w:lineRule="auto"/>
        <w:jc w:val="both"/>
        <w:rPr>
          <w:sz w:val="24"/>
          <w:szCs w:val="24"/>
        </w:rPr>
      </w:pPr>
      <w:r>
        <w:rPr>
          <w:sz w:val="24"/>
          <w:szCs w:val="24"/>
        </w:rPr>
        <w:t>Disponibilité des ressources humaines pouvant délivrer les prestations demandées ;</w:t>
      </w:r>
      <w:r w:rsidR="00A54C90">
        <w:rPr>
          <w:sz w:val="24"/>
          <w:szCs w:val="24"/>
        </w:rPr>
        <w:t xml:space="preserve"> (20 pts)</w:t>
      </w:r>
    </w:p>
    <w:p w:rsidR="00084B5E" w:rsidRDefault="00F16439">
      <w:pPr>
        <w:numPr>
          <w:ilvl w:val="0"/>
          <w:numId w:val="3"/>
        </w:numPr>
        <w:spacing w:after="0" w:line="360" w:lineRule="auto"/>
        <w:jc w:val="both"/>
        <w:rPr>
          <w:sz w:val="24"/>
          <w:szCs w:val="24"/>
        </w:rPr>
      </w:pPr>
      <w:r>
        <w:rPr>
          <w:sz w:val="24"/>
          <w:szCs w:val="24"/>
        </w:rPr>
        <w:t>Ayant au moins une (01) expérience similaire ;</w:t>
      </w:r>
      <w:r w:rsidR="00A54C90">
        <w:rPr>
          <w:sz w:val="24"/>
          <w:szCs w:val="24"/>
        </w:rPr>
        <w:t xml:space="preserve"> (40 pts)</w:t>
      </w:r>
    </w:p>
    <w:p w:rsidR="00084B5E" w:rsidRDefault="00F16439">
      <w:pPr>
        <w:numPr>
          <w:ilvl w:val="0"/>
          <w:numId w:val="3"/>
        </w:numPr>
        <w:spacing w:line="360" w:lineRule="auto"/>
        <w:jc w:val="both"/>
        <w:rPr>
          <w:sz w:val="24"/>
          <w:szCs w:val="24"/>
        </w:rPr>
      </w:pPr>
      <w:r>
        <w:rPr>
          <w:sz w:val="24"/>
          <w:szCs w:val="24"/>
        </w:rPr>
        <w:t>Ayant une expérience avérée dans des projets similaires serait un atout ;</w:t>
      </w:r>
      <w:r w:rsidR="00A54C90">
        <w:rPr>
          <w:sz w:val="24"/>
          <w:szCs w:val="24"/>
        </w:rPr>
        <w:t xml:space="preserve"> (20 pts)</w:t>
      </w:r>
    </w:p>
    <w:p w:rsidR="00084B5E" w:rsidRPr="00A54C90" w:rsidRDefault="00F16439">
      <w:pPr>
        <w:spacing w:line="360" w:lineRule="auto"/>
        <w:jc w:val="both"/>
        <w:rPr>
          <w:b/>
          <w:bCs/>
          <w:sz w:val="24"/>
          <w:szCs w:val="24"/>
          <w:u w:val="single"/>
        </w:rPr>
      </w:pPr>
      <w:r w:rsidRPr="00A54C90">
        <w:rPr>
          <w:b/>
          <w:bCs/>
          <w:sz w:val="24"/>
          <w:szCs w:val="24"/>
          <w:u w:val="single"/>
        </w:rPr>
        <w:t>Méthodologie de sélection :</w:t>
      </w:r>
    </w:p>
    <w:p w:rsidR="00084B5E" w:rsidRDefault="00F16439">
      <w:pPr>
        <w:spacing w:line="360" w:lineRule="auto"/>
        <w:jc w:val="both"/>
        <w:rPr>
          <w:sz w:val="24"/>
          <w:szCs w:val="24"/>
        </w:rPr>
      </w:pPr>
      <w:r>
        <w:rPr>
          <w:sz w:val="24"/>
          <w:szCs w:val="24"/>
        </w:rPr>
        <w:t xml:space="preserve">Les candidatures présentées dans les délais prévus et qui respectent les modalités indiquées, seront examinées par une commission dont les membres seront </w:t>
      </w:r>
      <w:proofErr w:type="spellStart"/>
      <w:r>
        <w:rPr>
          <w:sz w:val="24"/>
          <w:szCs w:val="24"/>
        </w:rPr>
        <w:t>désigné.e.s</w:t>
      </w:r>
      <w:proofErr w:type="spellEnd"/>
      <w:r>
        <w:rPr>
          <w:sz w:val="24"/>
          <w:szCs w:val="24"/>
        </w:rPr>
        <w:t xml:space="preserve"> par le Bureau Directeur de l’Association Collectif Créatif.</w:t>
      </w:r>
    </w:p>
    <w:p w:rsidR="00084B5E" w:rsidRDefault="00A54C90">
      <w:pPr>
        <w:spacing w:line="360" w:lineRule="auto"/>
        <w:jc w:val="both"/>
        <w:rPr>
          <w:sz w:val="24"/>
          <w:szCs w:val="24"/>
        </w:rPr>
      </w:pPr>
      <w:r>
        <w:rPr>
          <w:sz w:val="24"/>
          <w:szCs w:val="24"/>
        </w:rPr>
        <w:t>L’attribution des notes sera basée sur la présentation des pièces justificatives</w:t>
      </w:r>
      <w:r w:rsidR="007E0CE6">
        <w:rPr>
          <w:sz w:val="24"/>
          <w:szCs w:val="24"/>
        </w:rPr>
        <w:t>.</w:t>
      </w:r>
    </w:p>
    <w:p w:rsidR="007E0CE6" w:rsidRDefault="007E0CE6">
      <w:pPr>
        <w:spacing w:line="360" w:lineRule="auto"/>
        <w:jc w:val="both"/>
        <w:rPr>
          <w:sz w:val="24"/>
          <w:szCs w:val="24"/>
        </w:rPr>
      </w:pPr>
      <w:r>
        <w:rPr>
          <w:sz w:val="24"/>
          <w:szCs w:val="24"/>
        </w:rPr>
        <w:t xml:space="preserve">Chaque proposition conforme se verra attribuer un score technique (NT). </w:t>
      </w:r>
      <w:proofErr w:type="gramStart"/>
      <w:r>
        <w:rPr>
          <w:sz w:val="24"/>
          <w:szCs w:val="24"/>
        </w:rPr>
        <w:t>Un</w:t>
      </w:r>
      <w:proofErr w:type="gramEnd"/>
      <w:r>
        <w:rPr>
          <w:sz w:val="24"/>
          <w:szCs w:val="24"/>
        </w:rPr>
        <w:t xml:space="preserve"> proposition sera rejetée à ce stade si elle n’atteint pas le score technique minimum de 70 pts sur un total de 100 pts.</w:t>
      </w:r>
    </w:p>
    <w:p w:rsidR="007E0CE6" w:rsidRDefault="007E0CE6">
      <w:pPr>
        <w:spacing w:line="360" w:lineRule="auto"/>
        <w:jc w:val="both"/>
        <w:rPr>
          <w:sz w:val="24"/>
          <w:szCs w:val="24"/>
        </w:rPr>
      </w:pPr>
      <w:r>
        <w:rPr>
          <w:sz w:val="24"/>
          <w:szCs w:val="24"/>
        </w:rPr>
        <w:t>Seules les propositions</w:t>
      </w:r>
      <w:r w:rsidR="00D00A91">
        <w:rPr>
          <w:sz w:val="24"/>
          <w:szCs w:val="24"/>
        </w:rPr>
        <w:t xml:space="preserve"> retenues techniquement seront évaluées sur la base de leur offre financière.</w:t>
      </w:r>
    </w:p>
    <w:p w:rsidR="00D00A91" w:rsidRDefault="00D00A91">
      <w:pPr>
        <w:spacing w:line="360" w:lineRule="auto"/>
        <w:jc w:val="both"/>
        <w:rPr>
          <w:sz w:val="24"/>
          <w:szCs w:val="24"/>
        </w:rPr>
      </w:pPr>
      <w:r>
        <w:rPr>
          <w:sz w:val="24"/>
          <w:szCs w:val="24"/>
        </w:rPr>
        <w:t xml:space="preserve">La proposition financière la moins </w:t>
      </w:r>
      <w:proofErr w:type="spellStart"/>
      <w:r>
        <w:rPr>
          <w:sz w:val="24"/>
          <w:szCs w:val="24"/>
        </w:rPr>
        <w:t>disante</w:t>
      </w:r>
      <w:proofErr w:type="spellEnd"/>
      <w:r>
        <w:rPr>
          <w:sz w:val="24"/>
          <w:szCs w:val="24"/>
        </w:rPr>
        <w:t>, parmi les offres qui seront retenues techniquement sera retenue. L’évaluation des offres financière sera basée sur le montant total de l’offre HTVA.</w:t>
      </w:r>
    </w:p>
    <w:p w:rsidR="00084B5E" w:rsidRDefault="00F16439">
      <w:pPr>
        <w:spacing w:line="360" w:lineRule="auto"/>
        <w:jc w:val="both"/>
        <w:rPr>
          <w:b/>
          <w:sz w:val="24"/>
          <w:szCs w:val="24"/>
          <w:u w:val="single"/>
        </w:rPr>
      </w:pPr>
      <w:r>
        <w:rPr>
          <w:b/>
          <w:sz w:val="24"/>
          <w:szCs w:val="24"/>
          <w:u w:val="single"/>
        </w:rPr>
        <w:t xml:space="preserve">Candidature : </w:t>
      </w:r>
    </w:p>
    <w:p w:rsidR="00D00A91" w:rsidRPr="00D00A91" w:rsidRDefault="00D00A91" w:rsidP="00D00A91">
      <w:pPr>
        <w:spacing w:line="360" w:lineRule="auto"/>
        <w:jc w:val="both"/>
        <w:rPr>
          <w:sz w:val="24"/>
          <w:szCs w:val="24"/>
        </w:rPr>
      </w:pPr>
      <w:r>
        <w:rPr>
          <w:sz w:val="24"/>
          <w:szCs w:val="24"/>
        </w:rPr>
        <w:lastRenderedPageBreak/>
        <w:t xml:space="preserve">Les offres doivent être remises par email dans un seul document PDF au plus tard le 04 mai 2022 (17h00) aux adresses email </w:t>
      </w:r>
      <w:hyperlink r:id="rId8">
        <w:r>
          <w:rPr>
            <w:color w:val="0563C1"/>
            <w:sz w:val="24"/>
            <w:szCs w:val="24"/>
          </w:rPr>
          <w:t>contact@collectifcreatif.org</w:t>
        </w:r>
      </w:hyperlink>
      <w:r>
        <w:rPr>
          <w:sz w:val="24"/>
          <w:szCs w:val="24"/>
        </w:rPr>
        <w:t xml:space="preserve"> et </w:t>
      </w:r>
      <w:hyperlink r:id="rId9">
        <w:r>
          <w:rPr>
            <w:color w:val="0563C1"/>
            <w:sz w:val="24"/>
            <w:szCs w:val="24"/>
          </w:rPr>
          <w:t>coordinationcollectifcreatif@gmail.com</w:t>
        </w:r>
      </w:hyperlink>
      <w:r>
        <w:rPr>
          <w:sz w:val="24"/>
          <w:szCs w:val="24"/>
        </w:rPr>
        <w:t>.</w:t>
      </w:r>
    </w:p>
    <w:p w:rsidR="00084B5E" w:rsidRPr="00D00A91" w:rsidRDefault="00F16439">
      <w:pPr>
        <w:numPr>
          <w:ilvl w:val="0"/>
          <w:numId w:val="6"/>
        </w:numPr>
        <w:spacing w:after="0" w:line="360" w:lineRule="auto"/>
        <w:jc w:val="both"/>
        <w:rPr>
          <w:sz w:val="24"/>
          <w:szCs w:val="24"/>
          <w:u w:val="single"/>
        </w:rPr>
      </w:pPr>
      <w:r w:rsidRPr="00D00A91">
        <w:rPr>
          <w:sz w:val="24"/>
          <w:szCs w:val="24"/>
          <w:u w:val="single"/>
        </w:rPr>
        <w:t>Offre technique :</w:t>
      </w:r>
    </w:p>
    <w:p w:rsidR="00D00A91" w:rsidRDefault="00D00A91">
      <w:pPr>
        <w:numPr>
          <w:ilvl w:val="0"/>
          <w:numId w:val="8"/>
        </w:numPr>
        <w:spacing w:after="0" w:line="360" w:lineRule="auto"/>
        <w:jc w:val="both"/>
        <w:rPr>
          <w:sz w:val="24"/>
          <w:szCs w:val="24"/>
        </w:rPr>
      </w:pPr>
      <w:proofErr w:type="spellStart"/>
      <w:r>
        <w:rPr>
          <w:sz w:val="24"/>
          <w:szCs w:val="24"/>
        </w:rPr>
        <w:t>TDRs</w:t>
      </w:r>
      <w:proofErr w:type="spellEnd"/>
      <w:r>
        <w:rPr>
          <w:sz w:val="24"/>
          <w:szCs w:val="24"/>
        </w:rPr>
        <w:t xml:space="preserve"> signés et paraphés portant la mention lu et approuvé ;</w:t>
      </w:r>
    </w:p>
    <w:p w:rsidR="00084B5E" w:rsidRDefault="00D00A91">
      <w:pPr>
        <w:numPr>
          <w:ilvl w:val="0"/>
          <w:numId w:val="8"/>
        </w:numPr>
        <w:spacing w:after="0" w:line="360" w:lineRule="auto"/>
        <w:jc w:val="both"/>
        <w:rPr>
          <w:sz w:val="24"/>
          <w:szCs w:val="24"/>
        </w:rPr>
      </w:pPr>
      <w:r>
        <w:rPr>
          <w:sz w:val="24"/>
          <w:szCs w:val="24"/>
        </w:rPr>
        <w:t>Une copie du RNE / Patente ;</w:t>
      </w:r>
    </w:p>
    <w:p w:rsidR="00084B5E" w:rsidRDefault="00F16439">
      <w:pPr>
        <w:numPr>
          <w:ilvl w:val="0"/>
          <w:numId w:val="8"/>
        </w:numPr>
        <w:spacing w:after="0" w:line="360" w:lineRule="auto"/>
        <w:jc w:val="both"/>
        <w:rPr>
          <w:sz w:val="24"/>
          <w:szCs w:val="24"/>
        </w:rPr>
      </w:pPr>
      <w:r>
        <w:rPr>
          <w:sz w:val="24"/>
          <w:szCs w:val="24"/>
        </w:rPr>
        <w:t xml:space="preserve">Une proposition de </w:t>
      </w:r>
      <w:proofErr w:type="spellStart"/>
      <w:r>
        <w:rPr>
          <w:sz w:val="24"/>
          <w:szCs w:val="24"/>
        </w:rPr>
        <w:t>Timeline</w:t>
      </w:r>
      <w:proofErr w:type="spellEnd"/>
      <w:r>
        <w:rPr>
          <w:sz w:val="24"/>
          <w:szCs w:val="24"/>
        </w:rPr>
        <w:t xml:space="preserve"> ;</w:t>
      </w:r>
    </w:p>
    <w:p w:rsidR="00084B5E" w:rsidRDefault="00F16439">
      <w:pPr>
        <w:numPr>
          <w:ilvl w:val="0"/>
          <w:numId w:val="8"/>
        </w:numPr>
        <w:spacing w:after="0" w:line="360" w:lineRule="auto"/>
        <w:jc w:val="both"/>
        <w:rPr>
          <w:sz w:val="24"/>
          <w:szCs w:val="24"/>
        </w:rPr>
      </w:pPr>
      <w:proofErr w:type="spellStart"/>
      <w:r>
        <w:rPr>
          <w:sz w:val="24"/>
          <w:szCs w:val="24"/>
        </w:rPr>
        <w:t>CVs</w:t>
      </w:r>
      <w:proofErr w:type="spellEnd"/>
      <w:r>
        <w:rPr>
          <w:sz w:val="24"/>
          <w:szCs w:val="24"/>
        </w:rPr>
        <w:t xml:space="preserve"> et Portfolios ; </w:t>
      </w:r>
    </w:p>
    <w:p w:rsidR="00084B5E" w:rsidRDefault="00F16439">
      <w:pPr>
        <w:numPr>
          <w:ilvl w:val="0"/>
          <w:numId w:val="8"/>
        </w:numPr>
        <w:spacing w:after="0" w:line="360" w:lineRule="auto"/>
        <w:jc w:val="both"/>
        <w:rPr>
          <w:sz w:val="24"/>
          <w:szCs w:val="24"/>
        </w:rPr>
      </w:pPr>
      <w:r>
        <w:rPr>
          <w:sz w:val="24"/>
          <w:szCs w:val="24"/>
        </w:rPr>
        <w:t>Au moins 01 référence ;</w:t>
      </w:r>
    </w:p>
    <w:p w:rsidR="00084B5E" w:rsidRDefault="00F16439">
      <w:pPr>
        <w:numPr>
          <w:ilvl w:val="0"/>
          <w:numId w:val="8"/>
        </w:numPr>
        <w:spacing w:after="0" w:line="360" w:lineRule="auto"/>
        <w:jc w:val="both"/>
        <w:rPr>
          <w:sz w:val="24"/>
          <w:szCs w:val="24"/>
        </w:rPr>
      </w:pPr>
      <w:r>
        <w:rPr>
          <w:sz w:val="24"/>
          <w:szCs w:val="24"/>
        </w:rPr>
        <w:t>Exemples de projets élaborés ;</w:t>
      </w:r>
    </w:p>
    <w:p w:rsidR="00084B5E" w:rsidRPr="00D00A91" w:rsidRDefault="00F16439">
      <w:pPr>
        <w:numPr>
          <w:ilvl w:val="0"/>
          <w:numId w:val="6"/>
        </w:numPr>
        <w:spacing w:after="0" w:line="360" w:lineRule="auto"/>
        <w:jc w:val="both"/>
        <w:rPr>
          <w:sz w:val="24"/>
          <w:szCs w:val="24"/>
          <w:u w:val="single"/>
        </w:rPr>
      </w:pPr>
      <w:r w:rsidRPr="00D00A91">
        <w:rPr>
          <w:sz w:val="24"/>
          <w:szCs w:val="24"/>
          <w:u w:val="single"/>
        </w:rPr>
        <w:t xml:space="preserve">Offre financière : </w:t>
      </w:r>
    </w:p>
    <w:p w:rsidR="00084B5E" w:rsidRDefault="00F16439">
      <w:pPr>
        <w:numPr>
          <w:ilvl w:val="0"/>
          <w:numId w:val="7"/>
        </w:numPr>
        <w:spacing w:after="0" w:line="360" w:lineRule="auto"/>
        <w:jc w:val="both"/>
        <w:rPr>
          <w:sz w:val="24"/>
          <w:szCs w:val="24"/>
        </w:rPr>
      </w:pPr>
      <w:r>
        <w:rPr>
          <w:sz w:val="24"/>
          <w:szCs w:val="24"/>
        </w:rPr>
        <w:t>L’offre financière doit être adressée en Hors taxes ;</w:t>
      </w:r>
    </w:p>
    <w:p w:rsidR="00084B5E" w:rsidRDefault="00F16439">
      <w:pPr>
        <w:numPr>
          <w:ilvl w:val="0"/>
          <w:numId w:val="7"/>
        </w:numPr>
        <w:spacing w:line="360" w:lineRule="auto"/>
        <w:jc w:val="both"/>
        <w:rPr>
          <w:sz w:val="24"/>
          <w:szCs w:val="24"/>
        </w:rPr>
      </w:pPr>
      <w:r>
        <w:rPr>
          <w:sz w:val="24"/>
          <w:szCs w:val="24"/>
        </w:rPr>
        <w:t>L’offre doit contenir le budget total avec une ventilation détaillée ;</w:t>
      </w:r>
    </w:p>
    <w:p w:rsidR="00D00A91" w:rsidRDefault="00D00A91">
      <w:pPr>
        <w:spacing w:line="360" w:lineRule="auto"/>
        <w:jc w:val="both"/>
        <w:rPr>
          <w:sz w:val="24"/>
          <w:szCs w:val="24"/>
        </w:rPr>
      </w:pPr>
      <w:r>
        <w:rPr>
          <w:sz w:val="24"/>
          <w:szCs w:val="24"/>
        </w:rPr>
        <w:t>Toute offre ne comportant pas la totalité des pièces susmentionnées sera rejetée.</w:t>
      </w:r>
    </w:p>
    <w:p w:rsidR="00D00A91" w:rsidRDefault="00D00A91">
      <w:pPr>
        <w:spacing w:line="360" w:lineRule="auto"/>
        <w:jc w:val="both"/>
        <w:rPr>
          <w:sz w:val="24"/>
          <w:szCs w:val="24"/>
        </w:rPr>
      </w:pPr>
      <w:r>
        <w:rPr>
          <w:sz w:val="24"/>
          <w:szCs w:val="24"/>
        </w:rPr>
        <w:t xml:space="preserve">Les candidatures reçues après la date et l’horaire susmentionnées ne seront pas prises en </w:t>
      </w:r>
      <w:r w:rsidR="00B905B4">
        <w:rPr>
          <w:sz w:val="24"/>
          <w:szCs w:val="24"/>
        </w:rPr>
        <w:t>considération</w:t>
      </w:r>
      <w:bookmarkStart w:id="0" w:name="_GoBack"/>
      <w:bookmarkEnd w:id="0"/>
      <w:r>
        <w:rPr>
          <w:sz w:val="24"/>
          <w:szCs w:val="24"/>
        </w:rPr>
        <w:t>.</w:t>
      </w:r>
    </w:p>
    <w:p w:rsidR="00084B5E" w:rsidRDefault="00084B5E">
      <w:pPr>
        <w:spacing w:line="360" w:lineRule="auto"/>
        <w:jc w:val="both"/>
        <w:rPr>
          <w:sz w:val="24"/>
          <w:szCs w:val="24"/>
        </w:rPr>
      </w:pPr>
    </w:p>
    <w:p w:rsidR="00084B5E" w:rsidRDefault="00084B5E">
      <w:pPr>
        <w:spacing w:line="360" w:lineRule="auto"/>
        <w:jc w:val="both"/>
        <w:rPr>
          <w:sz w:val="24"/>
          <w:szCs w:val="24"/>
        </w:rPr>
      </w:pPr>
    </w:p>
    <w:sectPr w:rsidR="00084B5E">
      <w:headerReference w:type="default" r:id="rId10"/>
      <w:footerReference w:type="default" r:id="rId11"/>
      <w:pgSz w:w="11906" w:h="16838"/>
      <w:pgMar w:top="1842"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0C" w:rsidRDefault="005B220C">
      <w:pPr>
        <w:spacing w:after="0" w:line="240" w:lineRule="auto"/>
      </w:pPr>
      <w:r>
        <w:separator/>
      </w:r>
    </w:p>
  </w:endnote>
  <w:endnote w:type="continuationSeparator" w:id="0">
    <w:p w:rsidR="005B220C" w:rsidRDefault="005B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B5E" w:rsidRDefault="00F1643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905B4">
      <w:rPr>
        <w:noProof/>
        <w:color w:val="000000"/>
      </w:rPr>
      <w:t>3</w:t>
    </w:r>
    <w:r>
      <w:rPr>
        <w:color w:val="000000"/>
      </w:rPr>
      <w:fldChar w:fldCharType="end"/>
    </w:r>
  </w:p>
  <w:p w:rsidR="00084B5E" w:rsidRDefault="00084B5E">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0C" w:rsidRDefault="005B220C">
      <w:pPr>
        <w:spacing w:after="0" w:line="240" w:lineRule="auto"/>
      </w:pPr>
      <w:r>
        <w:separator/>
      </w:r>
    </w:p>
  </w:footnote>
  <w:footnote w:type="continuationSeparator" w:id="0">
    <w:p w:rsidR="005B220C" w:rsidRDefault="005B2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B5E" w:rsidRDefault="00F16439">
    <w:r>
      <w:rPr>
        <w:noProof/>
      </w:rPr>
      <mc:AlternateContent>
        <mc:Choice Requires="wpg">
          <w:drawing>
            <wp:anchor distT="0" distB="0" distL="0" distR="0" simplePos="0" relativeHeight="251658240" behindDoc="1" locked="0" layoutInCell="1" hidden="0" allowOverlap="1">
              <wp:simplePos x="0" y="0"/>
              <wp:positionH relativeFrom="column">
                <wp:posOffset>-825499</wp:posOffset>
              </wp:positionH>
              <wp:positionV relativeFrom="paragraph">
                <wp:posOffset>787400</wp:posOffset>
              </wp:positionV>
              <wp:extent cx="7372350" cy="8283563"/>
              <wp:effectExtent l="0" t="0" r="0" b="0"/>
              <wp:wrapNone/>
              <wp:docPr id="6" name="Groupe 6"/>
              <wp:cNvGraphicFramePr/>
              <a:graphic xmlns:a="http://schemas.openxmlformats.org/drawingml/2006/main">
                <a:graphicData uri="http://schemas.microsoft.com/office/word/2010/wordprocessingGroup">
                  <wpg:wgp>
                    <wpg:cNvGrpSpPr/>
                    <wpg:grpSpPr>
                      <a:xfrm>
                        <a:off x="0" y="0"/>
                        <a:ext cx="7372350" cy="8283563"/>
                        <a:chOff x="1659825" y="0"/>
                        <a:chExt cx="7372350" cy="7560000"/>
                      </a:xfrm>
                    </wpg:grpSpPr>
                    <wpg:grpSp>
                      <wpg:cNvPr id="1" name="Groupe 1"/>
                      <wpg:cNvGrpSpPr/>
                      <wpg:grpSpPr>
                        <a:xfrm>
                          <a:off x="1659825" y="0"/>
                          <a:ext cx="7372350" cy="7560000"/>
                          <a:chOff x="1659825" y="0"/>
                          <a:chExt cx="7372350" cy="7560000"/>
                        </a:xfrm>
                      </wpg:grpSpPr>
                      <wps:wsp>
                        <wps:cNvPr id="2" name="Rectangle 2"/>
                        <wps:cNvSpPr/>
                        <wps:spPr>
                          <a:xfrm>
                            <a:off x="1659825" y="0"/>
                            <a:ext cx="7372350" cy="7560000"/>
                          </a:xfrm>
                          <a:prstGeom prst="rect">
                            <a:avLst/>
                          </a:prstGeom>
                          <a:noFill/>
                          <a:ln>
                            <a:noFill/>
                          </a:ln>
                        </wps:spPr>
                        <wps:txbx>
                          <w:txbxContent>
                            <w:p w:rsidR="00084B5E" w:rsidRDefault="00084B5E">
                              <w:pPr>
                                <w:spacing w:after="0" w:line="240" w:lineRule="auto"/>
                                <w:textDirection w:val="btLr"/>
                              </w:pPr>
                            </w:p>
                          </w:txbxContent>
                        </wps:txbx>
                        <wps:bodyPr spcFirstLastPara="1" wrap="square" lIns="91425" tIns="91425" rIns="91425" bIns="91425" anchor="ctr" anchorCtr="0">
                          <a:noAutofit/>
                        </wps:bodyPr>
                      </wps:wsp>
                      <wpg:grpSp>
                        <wpg:cNvPr id="3" name="Groupe 3"/>
                        <wpg:cNvGrpSpPr/>
                        <wpg:grpSpPr>
                          <a:xfrm>
                            <a:off x="1659825" y="0"/>
                            <a:ext cx="7372350" cy="7560000"/>
                            <a:chOff x="2290466" y="1279688"/>
                            <a:chExt cx="6111069" cy="5000625"/>
                          </a:xfrm>
                        </wpg:grpSpPr>
                        <wps:wsp>
                          <wps:cNvPr id="4" name="Rectangle 4"/>
                          <wps:cNvSpPr/>
                          <wps:spPr>
                            <a:xfrm>
                              <a:off x="2290466" y="1279688"/>
                              <a:ext cx="6111050" cy="5000625"/>
                            </a:xfrm>
                            <a:prstGeom prst="rect">
                              <a:avLst/>
                            </a:prstGeom>
                            <a:noFill/>
                            <a:ln>
                              <a:noFill/>
                            </a:ln>
                          </wps:spPr>
                          <wps:txbx>
                            <w:txbxContent>
                              <w:p w:rsidR="00084B5E" w:rsidRDefault="00084B5E">
                                <w:pPr>
                                  <w:spacing w:after="0" w:line="240" w:lineRule="auto"/>
                                  <w:textDirection w:val="btLr"/>
                                </w:pPr>
                              </w:p>
                            </w:txbxContent>
                          </wps:txbx>
                          <wps:bodyPr spcFirstLastPara="1" wrap="square" lIns="91425" tIns="91425" rIns="91425" bIns="91425" anchor="ctr" anchorCtr="0">
                            <a:noAutofit/>
                          </wps:bodyPr>
                        </wps:wsp>
                        <wpg:grpSp>
                          <wpg:cNvPr id="5" name="Groupe 5"/>
                          <wpg:cNvGrpSpPr/>
                          <wpg:grpSpPr>
                            <a:xfrm>
                              <a:off x="2290466" y="1279688"/>
                              <a:ext cx="6111069" cy="5000625"/>
                              <a:chOff x="0" y="0"/>
                              <a:chExt cx="6111069" cy="5000625"/>
                            </a:xfrm>
                          </wpg:grpSpPr>
                          <wps:wsp>
                            <wps:cNvPr id="7" name="Rectangle 7"/>
                            <wps:cNvSpPr/>
                            <wps:spPr>
                              <a:xfrm>
                                <a:off x="0" y="0"/>
                                <a:ext cx="6111050" cy="5000625"/>
                              </a:xfrm>
                              <a:prstGeom prst="rect">
                                <a:avLst/>
                              </a:prstGeom>
                              <a:noFill/>
                              <a:ln>
                                <a:noFill/>
                              </a:ln>
                            </wps:spPr>
                            <wps:txbx>
                              <w:txbxContent>
                                <w:p w:rsidR="00084B5E" w:rsidRDefault="00084B5E">
                                  <w:pPr>
                                    <w:spacing w:after="0" w:line="240" w:lineRule="auto"/>
                                    <w:textDirection w:val="btLr"/>
                                  </w:pPr>
                                </w:p>
                                <w:p w:rsidR="00084B5E" w:rsidRDefault="00084B5E">
                                  <w:pPr>
                                    <w:spacing w:line="258" w:lineRule="auto"/>
                                    <w:textDirection w:val="btLr"/>
                                  </w:pPr>
                                </w:p>
                              </w:txbxContent>
                            </wps:txbx>
                            <wps:bodyPr spcFirstLastPara="1" wrap="square" lIns="91425" tIns="91425" rIns="91425" bIns="91425" anchor="ctr" anchorCtr="0">
                              <a:noAutofit/>
                            </wps:bodyPr>
                          </wps:wsp>
                          <wps:wsp>
                            <wps:cNvPr id="8" name="Connecteur droit avec flèche 8"/>
                            <wps:cNvCnPr/>
                            <wps:spPr>
                              <a:xfrm rot="10800000" flipH="1">
                                <a:off x="0" y="13648"/>
                                <a:ext cx="6086475" cy="1476375"/>
                              </a:xfrm>
                              <a:prstGeom prst="straightConnector1">
                                <a:avLst/>
                              </a:prstGeom>
                              <a:noFill/>
                              <a:ln w="19050" cap="flat" cmpd="sng">
                                <a:solidFill>
                                  <a:srgbClr val="FFFF00"/>
                                </a:solidFill>
                                <a:prstDash val="solid"/>
                                <a:miter lim="800000"/>
                                <a:headEnd type="none" w="sm" len="sm"/>
                                <a:tailEnd type="none" w="sm" len="sm"/>
                              </a:ln>
                            </wps:spPr>
                            <wps:bodyPr/>
                          </wps:wsp>
                          <wps:wsp>
                            <wps:cNvPr id="9" name="Connecteur droit avec flèche 9"/>
                            <wps:cNvCnPr/>
                            <wps:spPr>
                              <a:xfrm rot="10800000" flipH="1">
                                <a:off x="491319" y="0"/>
                                <a:ext cx="5619750" cy="5000625"/>
                              </a:xfrm>
                              <a:prstGeom prst="straightConnector1">
                                <a:avLst/>
                              </a:prstGeom>
                              <a:noFill/>
                              <a:ln w="19050" cap="flat" cmpd="sng">
                                <a:solidFill>
                                  <a:srgbClr val="FFFF00"/>
                                </a:solidFill>
                                <a:prstDash val="solid"/>
                                <a:miter lim="800000"/>
                                <a:headEnd type="none" w="sm" len="sm"/>
                                <a:tailEnd type="none" w="sm" len="sm"/>
                              </a:ln>
                            </wps:spPr>
                            <wps:bodyPr/>
                          </wps:wsp>
                          <wps:wsp>
                            <wps:cNvPr id="10" name="Connecteur droit avec flèche 10"/>
                            <wps:cNvCnPr/>
                            <wps:spPr>
                              <a:xfrm>
                                <a:off x="0" y="1473958"/>
                                <a:ext cx="6057900" cy="2790825"/>
                              </a:xfrm>
                              <a:prstGeom prst="straightConnector1">
                                <a:avLst/>
                              </a:prstGeom>
                              <a:noFill/>
                              <a:ln w="19050" cap="flat" cmpd="sng">
                                <a:solidFill>
                                  <a:srgbClr val="FFFF00"/>
                                </a:solidFill>
                                <a:prstDash val="solid"/>
                                <a:miter lim="800000"/>
                                <a:headEnd type="none" w="sm" len="sm"/>
                                <a:tailEnd type="none" w="sm" len="sm"/>
                              </a:ln>
                            </wps:spPr>
                            <wps:bodyPr/>
                          </wps:wsp>
                          <wps:wsp>
                            <wps:cNvPr id="11" name="Connecteur droit avec flèche 11"/>
                            <wps:cNvCnPr/>
                            <wps:spPr>
                              <a:xfrm rot="10800000" flipH="1">
                                <a:off x="511791" y="4271750"/>
                                <a:ext cx="5570703" cy="716507"/>
                              </a:xfrm>
                              <a:prstGeom prst="straightConnector1">
                                <a:avLst/>
                              </a:prstGeom>
                              <a:noFill/>
                              <a:ln w="19050" cap="flat" cmpd="sng">
                                <a:solidFill>
                                  <a:srgbClr val="FFFF00"/>
                                </a:solidFill>
                                <a:prstDash val="solid"/>
                                <a:miter lim="800000"/>
                                <a:headEnd type="none" w="sm" len="sm"/>
                                <a:tailEnd type="none" w="sm" len="sm"/>
                              </a:ln>
                            </wps:spPr>
                            <wps:bodyPr/>
                          </wps:wsp>
                        </wpg:grpSp>
                      </wpg:grpSp>
                    </wpg:grpSp>
                  </wpg:wgp>
                </a:graphicData>
              </a:graphic>
            </wp:anchor>
          </w:drawing>
        </mc:Choice>
        <mc:Fallback>
          <w:pict>
            <v:group id="Groupe 6" o:spid="_x0000_s1026" style="position:absolute;margin-left:-65pt;margin-top:62pt;width:580.5pt;height:652.25pt;z-index:-251658240;mso-wrap-distance-left:0;mso-wrap-distance-right:0" coordorigin="16598" coordsize="73723,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">
              <v:group id="Groupe 1" o:spid="_x0000_s1027" style="position:absolute;left:16598;width:73723;height:75600" coordorigin="16598" coordsize="73723,75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16598;width:73723;height:75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84B5E" w:rsidRDefault="00084B5E">
                        <w:pPr>
                          <w:spacing w:after="0" w:line="240" w:lineRule="auto"/>
                          <w:textDirection w:val="btLr"/>
                        </w:pPr>
                      </w:p>
                    </w:txbxContent>
                  </v:textbox>
                </v:rect>
                <v:group id="Groupe 3" o:spid="_x0000_s1029" style="position:absolute;left:16598;width:73723;height:75600" coordorigin="22904,12796" coordsize="61110,50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22904;top:12796;width:61111;height:50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084B5E" w:rsidRDefault="00084B5E">
                          <w:pPr>
                            <w:spacing w:after="0" w:line="240" w:lineRule="auto"/>
                            <w:textDirection w:val="btLr"/>
                          </w:pPr>
                        </w:p>
                      </w:txbxContent>
                    </v:textbox>
                  </v:rect>
                  <v:group id="Groupe 5" o:spid="_x0000_s1031" style="position:absolute;left:22904;top:12796;width:61111;height:50007" coordsize="61110,50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2" style="position:absolute;width:61110;height:50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084B5E" w:rsidRDefault="00084B5E">
                            <w:pPr>
                              <w:spacing w:after="0" w:line="240" w:lineRule="auto"/>
                              <w:textDirection w:val="btLr"/>
                            </w:pPr>
                          </w:p>
                          <w:p w:rsidR="00084B5E" w:rsidRDefault="00084B5E">
                            <w:pPr>
                              <w:spacing w:line="258" w:lineRule="auto"/>
                              <w:textDirection w:val="btLr"/>
                            </w:pPr>
                          </w:p>
                        </w:txbxContent>
                      </v:textbox>
                    </v:rect>
                    <v:shapetype id="_x0000_t32" coordsize="21600,21600" o:spt="32" o:oned="t" path="m,l21600,21600e" filled="f">
                      <v:path arrowok="t" fillok="f" o:connecttype="none"/>
                      <o:lock v:ext="edit" shapetype="t"/>
                    </v:shapetype>
                    <v:shape id="Connecteur droit avec flèche 8" o:spid="_x0000_s1033" type="#_x0000_t32" style="position:absolute;top:136;width:60864;height:14764;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Gec7oAAADaAAAADwAAAGRycy9kb3ducmV2LnhtbERPyQrCMBC9C/5DGMGbpi6IVKOIKHgT&#10;t/vQjG2xmdQk2vr35iB4fLx9uW5NJd7kfGlZwWiYgCDOrC45V3C97AdzED4ga6wsk4IPeVivup0l&#10;pto2fKL3OeQihrBPUUERQp1K6bOCDPqhrYkjd7fOYIjQ5VI7bGK4qeQ4SWbSYMmxocCatgVlj/PL&#10;KGjCs/bl05xGk91tNp9ejh93OCrV77WbBYhAbfiLf+6DVhC3xivxBsjV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PRnnO6AAAA2gAAAA8AAAAAAAAAAAAAAAAAoQIAAGRy&#10;cy9kb3ducmV2LnhtbFBLBQYAAAAABAAEAPkAAACIAwAAAAA=&#10;" strokecolor="yellow" strokeweight="1.5pt">
                      <v:stroke startarrowwidth="narrow" startarrowlength="short" endarrowwidth="narrow" endarrowlength="short" joinstyle="miter"/>
                    </v:shape>
                    <v:shape id="Connecteur droit avec flèche 9" o:spid="_x0000_s1034" type="#_x0000_t32" style="position:absolute;left:4913;width:56197;height:50006;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076MEAAADaAAAADwAAAGRycy9kb3ducmV2LnhtbESPW4vCMBSE34X9D+EIvmnqBXG7pmWR&#10;FXwTL/t+aM62xeakJllb/70RBB+HmfmGWee9acSNnK8tK5hOEhDEhdU1lwrOp+14BcIHZI2NZVJw&#10;Jw959jFYY6ptxwe6HUMpIoR9igqqENpUSl9UZNBPbEscvT/rDIYoXSm1wy7CTSNnSbKUBmuOCxW2&#10;tKmouBz/jYIuXFtfX81hOv/5Xa4Wp/3d7fZKjYb99xeIQH14h1/tnVbwCc8r8Qb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nTvowQAAANoAAAAPAAAAAAAAAAAAAAAA&#10;AKECAABkcnMvZG93bnJldi54bWxQSwUGAAAAAAQABAD5AAAAjwMAAAAA&#10;" strokecolor="yellow" strokeweight="1.5pt">
                      <v:stroke startarrowwidth="narrow" startarrowlength="short" endarrowwidth="narrow" endarrowlength="short" joinstyle="miter"/>
                    </v:shape>
                    <v:shape id="Connecteur droit avec flèche 10" o:spid="_x0000_s1035" type="#_x0000_t32" style="position:absolute;top:14739;width:60579;height:27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IVssMAAADbAAAADwAAAGRycy9kb3ducmV2LnhtbESPQWsCQQyF7wX/wxChtzpjW1RWR9GC&#10;IL1VRTzGnbi7uJNZdkZd/fXNodBbHnnfy8ts0fla3aiNVWALw4EBRZwHV3FhYb9bv01AxYTssA5M&#10;Fh4UYTHvvcwwc+HOP3TbpkJJCMcMLZQpNZnWMS/JYxyEhlh259B6TCLbQrsW7xLua/1uzEh7rFgu&#10;lNjQV0n5ZXv1UuNk9h9mdKTVxfvJ9/jzWR9WT2tf+91yCipRl/7Nf/TGCSft5RcZQ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iFbLDAAAA2wAAAA8AAAAAAAAAAAAA&#10;AAAAoQIAAGRycy9kb3ducmV2LnhtbFBLBQYAAAAABAAEAPkAAACRAwAAAAA=&#10;" strokecolor="yellow" strokeweight="1.5pt">
                      <v:stroke startarrowwidth="narrow" startarrowlength="short" endarrowwidth="narrow" endarrowlength="short" joinstyle="miter"/>
                    </v:shape>
                    <v:shape id="Connecteur droit avec flèche 11" o:spid="_x0000_s1036" type="#_x0000_t32" style="position:absolute;left:5117;top:42717;width:55707;height:716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B0V74AAADbAAAADwAAAGRycy9kb3ducmV2LnhtbERPy6rCMBDdX/AfwgjurmlVRKpRRBTc&#10;ia/90IxtsZnUJNr690a4cHdzOM9ZrDpTixc5X1lWkA4TEMS51RUXCi7n3e8MhA/IGmvLpOBNHlbL&#10;3s8CM21bPtLrFAoRQ9hnqKAMocmk9HlJBv3QNsSRu1lnMEToCqkdtjHc1HKUJFNpsOLYUGJDm5Ly&#10;++lpFLTh0fjqYY7peHudzibnw9vtD0oN+t16DiJQF/7Ff+69jvNT+P4SD5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YHRXvgAAANsAAAAPAAAAAAAAAAAAAAAAAKEC&#10;AABkcnMvZG93bnJldi54bWxQSwUGAAAAAAQABAD5AAAAjAMAAAAA&#10;" strokecolor="yellow" strokeweight="1.5pt">
                      <v:stroke startarrowwidth="narrow" startarrowlength="short" endarrowwidth="narrow" endarrowlength="short" joinstyle="miter"/>
                    </v:shape>
                  </v:group>
                </v:group>
              </v:group>
            </v:group>
          </w:pict>
        </mc:Fallback>
      </mc:AlternateContent>
    </w:r>
    <w:r>
      <w:rPr>
        <w:noProof/>
      </w:rPr>
      <w:drawing>
        <wp:anchor distT="0" distB="0" distL="0" distR="0" simplePos="0" relativeHeight="251659264" behindDoc="1" locked="0" layoutInCell="1" hidden="0" allowOverlap="1">
          <wp:simplePos x="0" y="0"/>
          <wp:positionH relativeFrom="column">
            <wp:posOffset>3762375</wp:posOffset>
          </wp:positionH>
          <wp:positionV relativeFrom="paragraph">
            <wp:posOffset>-419096</wp:posOffset>
          </wp:positionV>
          <wp:extent cx="2067242" cy="1463084"/>
          <wp:effectExtent l="0" t="0" r="0" b="0"/>
          <wp:wrapNone/>
          <wp:docPr id="12" name="image1.png" descr="C:\Users\USER\AppData\Local\Microsoft\Windows\INetCache\Content.Word\logo_Plan de travail 1.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logo_Plan de travail 1.png"/>
                  <pic:cNvPicPr preferRelativeResize="0"/>
                </pic:nvPicPr>
                <pic:blipFill>
                  <a:blip r:embed="rId1"/>
                  <a:srcRect/>
                  <a:stretch>
                    <a:fillRect/>
                  </a:stretch>
                </pic:blipFill>
                <pic:spPr>
                  <a:xfrm>
                    <a:off x="0" y="0"/>
                    <a:ext cx="2067242" cy="146308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5CFE"/>
    <w:multiLevelType w:val="hybridMultilevel"/>
    <w:tmpl w:val="68CE07E0"/>
    <w:lvl w:ilvl="0" w:tplc="0C661C6A">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4827E8"/>
    <w:multiLevelType w:val="multilevel"/>
    <w:tmpl w:val="2E4459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8E3465C"/>
    <w:multiLevelType w:val="multilevel"/>
    <w:tmpl w:val="17FEE98A"/>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A0245F"/>
    <w:multiLevelType w:val="multilevel"/>
    <w:tmpl w:val="3306B6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3A4E7B8D"/>
    <w:multiLevelType w:val="multilevel"/>
    <w:tmpl w:val="43EC3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A287211"/>
    <w:multiLevelType w:val="multilevel"/>
    <w:tmpl w:val="8780D5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6D4674CE"/>
    <w:multiLevelType w:val="multilevel"/>
    <w:tmpl w:val="A0F21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6C81E50"/>
    <w:multiLevelType w:val="multilevel"/>
    <w:tmpl w:val="3F668590"/>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D7A78E6"/>
    <w:multiLevelType w:val="multilevel"/>
    <w:tmpl w:val="B6C8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6"/>
  </w:num>
  <w:num w:numId="4">
    <w:abstractNumId w:val="7"/>
  </w:num>
  <w:num w:numId="5">
    <w:abstractNumId w:val="2"/>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E"/>
    <w:rsid w:val="00084B5E"/>
    <w:rsid w:val="005B220C"/>
    <w:rsid w:val="007E0CE6"/>
    <w:rsid w:val="00A54C90"/>
    <w:rsid w:val="00B905B4"/>
    <w:rsid w:val="00C55BF0"/>
    <w:rsid w:val="00D00A91"/>
    <w:rsid w:val="00F164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70D35-4677-4C18-8E87-574B410A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A5411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54118"/>
    <w:rPr>
      <w:b/>
      <w:bCs/>
    </w:rPr>
  </w:style>
  <w:style w:type="paragraph" w:styleId="Paragraphedeliste">
    <w:name w:val="List Paragraph"/>
    <w:basedOn w:val="Normal"/>
    <w:uiPriority w:val="34"/>
    <w:qFormat/>
    <w:rsid w:val="00206802"/>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BD00DE"/>
    <w:pPr>
      <w:tabs>
        <w:tab w:val="center" w:pos="4536"/>
        <w:tab w:val="right" w:pos="9072"/>
      </w:tabs>
      <w:spacing w:after="0" w:line="240" w:lineRule="auto"/>
    </w:pPr>
  </w:style>
  <w:style w:type="character" w:customStyle="1" w:styleId="En-tteCar">
    <w:name w:val="En-tête Car"/>
    <w:basedOn w:val="Policepardfaut"/>
    <w:link w:val="En-tte"/>
    <w:uiPriority w:val="99"/>
    <w:rsid w:val="00BD00DE"/>
  </w:style>
  <w:style w:type="paragraph" w:styleId="Pieddepage">
    <w:name w:val="footer"/>
    <w:basedOn w:val="Normal"/>
    <w:link w:val="PieddepageCar"/>
    <w:uiPriority w:val="99"/>
    <w:unhideWhenUsed/>
    <w:rsid w:val="00BD00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00DE"/>
  </w:style>
  <w:style w:type="paragraph" w:styleId="Textedebulles">
    <w:name w:val="Balloon Text"/>
    <w:basedOn w:val="Normal"/>
    <w:link w:val="TextedebullesCar"/>
    <w:uiPriority w:val="99"/>
    <w:semiHidden/>
    <w:unhideWhenUsed/>
    <w:rsid w:val="00CA6A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6A77"/>
    <w:rPr>
      <w:rFonts w:ascii="Segoe UI" w:hAnsi="Segoe UI" w:cs="Segoe UI"/>
      <w:sz w:val="18"/>
      <w:szCs w:val="18"/>
    </w:rPr>
  </w:style>
  <w:style w:type="character" w:styleId="Lienhypertexte">
    <w:name w:val="Hyperlink"/>
    <w:basedOn w:val="Policepardfaut"/>
    <w:uiPriority w:val="99"/>
    <w:unhideWhenUsed/>
    <w:rsid w:val="00FC3C68"/>
    <w:rPr>
      <w:color w:val="0563C1" w:themeColor="hyperlink"/>
      <w:u w:val="single"/>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A54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ntact@collectifcreati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inationcollectifcreati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YSbYoQaDcRGP/P7AXUev1vdbHw==">AMUW2mUOnZE+ETiNFDqma1uThSRUW/by1iKougs9GafXw4fEm4A+xWy/RGLjWXd9dovfcC65auYW5MTz2xn+a7A12wgA4gMHJPDRVDIvz3FnDuEb68ugIW0=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Compte Microsoft</cp:lastModifiedBy>
  <cp:revision>3</cp:revision>
  <dcterms:created xsi:type="dcterms:W3CDTF">2022-04-21T12:32:00Z</dcterms:created>
  <dcterms:modified xsi:type="dcterms:W3CDTF">2022-04-21T13:12:00Z</dcterms:modified>
</cp:coreProperties>
</file>