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50EE2" w14:textId="77777777" w:rsidR="001A72C8" w:rsidRPr="00187A60" w:rsidRDefault="001A72C8" w:rsidP="00EF7773">
      <w:pPr>
        <w:jc w:val="center"/>
        <w:rPr>
          <w:rFonts w:cstheme="minorHAnsi"/>
          <w:b/>
          <w:bCs/>
          <w:sz w:val="20"/>
          <w:szCs w:val="20"/>
        </w:rPr>
      </w:pPr>
    </w:p>
    <w:p w14:paraId="40C8C7F2" w14:textId="77777777" w:rsidR="001A72C8" w:rsidRPr="00187A60" w:rsidRDefault="001A72C8" w:rsidP="00EF7773">
      <w:pPr>
        <w:jc w:val="center"/>
        <w:rPr>
          <w:rFonts w:cstheme="minorHAnsi"/>
          <w:b/>
          <w:bCs/>
          <w:sz w:val="20"/>
          <w:szCs w:val="20"/>
        </w:rPr>
      </w:pPr>
    </w:p>
    <w:p w14:paraId="71AB7291" w14:textId="77777777" w:rsidR="00E077CE" w:rsidRPr="00187A60" w:rsidRDefault="00EF7773" w:rsidP="00EF7773">
      <w:pPr>
        <w:jc w:val="center"/>
        <w:rPr>
          <w:rFonts w:cstheme="minorHAnsi"/>
          <w:b/>
          <w:bCs/>
          <w:sz w:val="20"/>
          <w:szCs w:val="20"/>
        </w:rPr>
      </w:pPr>
      <w:r w:rsidRPr="00187A60">
        <w:rPr>
          <w:rFonts w:cstheme="minorHAnsi"/>
          <w:b/>
          <w:bCs/>
          <w:sz w:val="20"/>
          <w:szCs w:val="20"/>
        </w:rPr>
        <w:t>Un-e spécialiste genre</w:t>
      </w:r>
    </w:p>
    <w:p w14:paraId="595714D8" w14:textId="77777777" w:rsidR="00EF7773" w:rsidRPr="00187A60" w:rsidRDefault="00EF7773" w:rsidP="00710952">
      <w:pPr>
        <w:jc w:val="center"/>
        <w:rPr>
          <w:rFonts w:cstheme="minorHAnsi"/>
          <w:b/>
          <w:bCs/>
          <w:sz w:val="20"/>
          <w:szCs w:val="20"/>
        </w:rPr>
      </w:pPr>
      <w:r w:rsidRPr="00187A60">
        <w:rPr>
          <w:rFonts w:cstheme="minorHAnsi"/>
          <w:b/>
          <w:bCs/>
          <w:sz w:val="20"/>
          <w:szCs w:val="20"/>
        </w:rPr>
        <w:t xml:space="preserve">Pour la formation </w:t>
      </w:r>
      <w:r w:rsidR="00710952" w:rsidRPr="00187A60">
        <w:rPr>
          <w:rFonts w:cstheme="minorHAnsi"/>
          <w:b/>
          <w:bCs/>
          <w:sz w:val="20"/>
          <w:szCs w:val="20"/>
        </w:rPr>
        <w:t>sur la loi 58-2017 à</w:t>
      </w:r>
      <w:r w:rsidRPr="00187A60">
        <w:rPr>
          <w:rFonts w:cstheme="minorHAnsi"/>
          <w:b/>
          <w:bCs/>
          <w:sz w:val="20"/>
          <w:szCs w:val="20"/>
        </w:rPr>
        <w:t xml:space="preserve"> Bizerte</w:t>
      </w:r>
    </w:p>
    <w:p w14:paraId="7CC77928" w14:textId="77777777" w:rsidR="00710952" w:rsidRPr="00187A60" w:rsidRDefault="00710952" w:rsidP="00710952">
      <w:pPr>
        <w:jc w:val="center"/>
        <w:rPr>
          <w:rFonts w:cstheme="minorHAnsi"/>
          <w:b/>
          <w:bCs/>
          <w:sz w:val="20"/>
          <w:szCs w:val="20"/>
        </w:rPr>
      </w:pPr>
    </w:p>
    <w:p w14:paraId="0B7FF9CE" w14:textId="77777777" w:rsidR="00710952" w:rsidRPr="00187A60" w:rsidRDefault="00710952" w:rsidP="00710952">
      <w:pPr>
        <w:jc w:val="center"/>
        <w:rPr>
          <w:rFonts w:cstheme="minorHAnsi"/>
          <w:b/>
          <w:bCs/>
          <w:sz w:val="20"/>
          <w:szCs w:val="20"/>
        </w:rPr>
      </w:pPr>
    </w:p>
    <w:p w14:paraId="479F1A7E" w14:textId="77777777" w:rsidR="00710952" w:rsidRPr="00187A60" w:rsidRDefault="00710952" w:rsidP="00710952">
      <w:pPr>
        <w:rPr>
          <w:rFonts w:cstheme="minorHAnsi"/>
          <w:b/>
          <w:bCs/>
          <w:sz w:val="20"/>
          <w:szCs w:val="20"/>
        </w:rPr>
      </w:pPr>
      <w:r w:rsidRPr="00187A60">
        <w:rPr>
          <w:rFonts w:cstheme="minorHAnsi"/>
          <w:b/>
          <w:bCs/>
          <w:sz w:val="20"/>
          <w:szCs w:val="20"/>
        </w:rPr>
        <w:t>Structure/organisation :</w:t>
      </w:r>
    </w:p>
    <w:p w14:paraId="3DC838A1" w14:textId="77777777" w:rsidR="00710952" w:rsidRPr="00187A60" w:rsidRDefault="00710952" w:rsidP="00DC1F05">
      <w:pPr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>L’association pour la promotion du droit à la différence avec l’appui d’OXFAM NOVIB dans le cadre du projet ‘</w:t>
      </w:r>
      <w:r w:rsidRPr="00187A60">
        <w:rPr>
          <w:rFonts w:cstheme="minorHAnsi"/>
          <w:b/>
          <w:bCs/>
          <w:i/>
          <w:iCs/>
          <w:sz w:val="20"/>
          <w:szCs w:val="20"/>
        </w:rPr>
        <w:t>Le confinement ne justifie pas les violences !</w:t>
      </w:r>
      <w:r w:rsidRPr="00187A60">
        <w:rPr>
          <w:rFonts w:cstheme="minorHAnsi"/>
          <w:sz w:val="20"/>
          <w:szCs w:val="20"/>
        </w:rPr>
        <w:t>’</w:t>
      </w:r>
    </w:p>
    <w:p w14:paraId="45313EB2" w14:textId="77777777" w:rsidR="00642696" w:rsidRPr="00187A60" w:rsidRDefault="00642696" w:rsidP="00DC1F05">
      <w:pPr>
        <w:jc w:val="both"/>
        <w:rPr>
          <w:rFonts w:cstheme="minorHAnsi"/>
          <w:sz w:val="20"/>
          <w:szCs w:val="20"/>
        </w:rPr>
      </w:pPr>
    </w:p>
    <w:p w14:paraId="0D3F1413" w14:textId="77777777" w:rsidR="00272CBD" w:rsidRPr="00187A60" w:rsidRDefault="00272CBD" w:rsidP="00710952">
      <w:pPr>
        <w:rPr>
          <w:rFonts w:cstheme="minorHAnsi"/>
          <w:sz w:val="20"/>
          <w:szCs w:val="20"/>
        </w:rPr>
      </w:pPr>
      <w:r w:rsidRPr="00187A60">
        <w:rPr>
          <w:rFonts w:cstheme="minorHAnsi"/>
          <w:b/>
          <w:bCs/>
          <w:sz w:val="20"/>
          <w:szCs w:val="20"/>
        </w:rPr>
        <w:t>Sujet de la consultation</w:t>
      </w:r>
      <w:r w:rsidRPr="00187A60">
        <w:rPr>
          <w:rFonts w:cstheme="minorHAnsi"/>
          <w:sz w:val="20"/>
          <w:szCs w:val="20"/>
        </w:rPr>
        <w:t> :</w:t>
      </w:r>
    </w:p>
    <w:p w14:paraId="47F1D579" w14:textId="2EFD7E3B" w:rsidR="00272CBD" w:rsidRPr="00187A60" w:rsidRDefault="00C541E8" w:rsidP="00DC1F05">
      <w:pPr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>Six</w:t>
      </w:r>
      <w:r w:rsidR="00272CBD" w:rsidRPr="00187A60">
        <w:rPr>
          <w:rFonts w:cstheme="minorHAnsi"/>
          <w:sz w:val="20"/>
          <w:szCs w:val="20"/>
        </w:rPr>
        <w:t xml:space="preserve"> jours de formation pour l’amélioration de la qualité de la prise en charge des femmes et des filles victimes de violences par les agent.es des unités spéciales</w:t>
      </w:r>
      <w:r w:rsidR="00F37CD6" w:rsidRPr="00187A60">
        <w:rPr>
          <w:rFonts w:cstheme="minorHAnsi"/>
          <w:sz w:val="20"/>
          <w:szCs w:val="20"/>
        </w:rPr>
        <w:t xml:space="preserve"> (2jours)</w:t>
      </w:r>
      <w:r w:rsidR="00272CBD" w:rsidRPr="00187A60">
        <w:rPr>
          <w:rFonts w:cstheme="minorHAnsi"/>
          <w:sz w:val="20"/>
          <w:szCs w:val="20"/>
        </w:rPr>
        <w:t>, les magistrats et avocats du système judiciaire</w:t>
      </w:r>
      <w:r w:rsidR="00F37CD6" w:rsidRPr="00187A60">
        <w:rPr>
          <w:rFonts w:cstheme="minorHAnsi"/>
          <w:sz w:val="20"/>
          <w:szCs w:val="20"/>
        </w:rPr>
        <w:t xml:space="preserve"> (2 jours) ; les professionnel.les de santé</w:t>
      </w:r>
      <w:r w:rsidR="00272CBD" w:rsidRPr="00187A60">
        <w:rPr>
          <w:rFonts w:cstheme="minorHAnsi"/>
          <w:sz w:val="20"/>
          <w:szCs w:val="20"/>
        </w:rPr>
        <w:t xml:space="preserve"> </w:t>
      </w:r>
      <w:r w:rsidR="00F37CD6" w:rsidRPr="00187A60">
        <w:rPr>
          <w:rFonts w:cstheme="minorHAnsi"/>
          <w:sz w:val="20"/>
          <w:szCs w:val="20"/>
        </w:rPr>
        <w:t xml:space="preserve">(1 jour) </w:t>
      </w:r>
      <w:r w:rsidR="00272CBD" w:rsidRPr="00187A60">
        <w:rPr>
          <w:rFonts w:cstheme="minorHAnsi"/>
          <w:sz w:val="20"/>
          <w:szCs w:val="20"/>
        </w:rPr>
        <w:t xml:space="preserve">et les professionnel.les des médias </w:t>
      </w:r>
      <w:r w:rsidR="00F37CD6" w:rsidRPr="00187A60">
        <w:rPr>
          <w:rFonts w:cstheme="minorHAnsi"/>
          <w:sz w:val="20"/>
          <w:szCs w:val="20"/>
        </w:rPr>
        <w:t xml:space="preserve">(1 jour) </w:t>
      </w:r>
      <w:r w:rsidR="00272CBD" w:rsidRPr="00187A60">
        <w:rPr>
          <w:rFonts w:cstheme="minorHAnsi"/>
          <w:sz w:val="20"/>
          <w:szCs w:val="20"/>
        </w:rPr>
        <w:t>du gouvernorat de Bizerte.</w:t>
      </w:r>
    </w:p>
    <w:p w14:paraId="2397621E" w14:textId="77777777" w:rsidR="00642696" w:rsidRPr="00187A60" w:rsidRDefault="00642696" w:rsidP="00DC1F05">
      <w:pPr>
        <w:jc w:val="both"/>
        <w:rPr>
          <w:rFonts w:cstheme="minorHAnsi"/>
          <w:sz w:val="20"/>
          <w:szCs w:val="20"/>
        </w:rPr>
      </w:pPr>
    </w:p>
    <w:p w14:paraId="019BE69A" w14:textId="77777777" w:rsidR="00B76ACD" w:rsidRPr="00187A60" w:rsidRDefault="00B76ACD" w:rsidP="00DC1F05">
      <w:pPr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b/>
          <w:bCs/>
          <w:sz w:val="20"/>
          <w:szCs w:val="20"/>
        </w:rPr>
        <w:t>Contexte</w:t>
      </w:r>
      <w:r w:rsidRPr="00187A60">
        <w:rPr>
          <w:rFonts w:cstheme="minorHAnsi"/>
          <w:sz w:val="20"/>
          <w:szCs w:val="20"/>
        </w:rPr>
        <w:t> :</w:t>
      </w:r>
    </w:p>
    <w:p w14:paraId="54EA6348" w14:textId="77777777" w:rsidR="00DA7448" w:rsidRPr="00187A60" w:rsidRDefault="00DA7448" w:rsidP="00DA7448">
      <w:pPr>
        <w:jc w:val="both"/>
        <w:rPr>
          <w:rFonts w:cstheme="minorHAnsi"/>
          <w:sz w:val="20"/>
          <w:szCs w:val="20"/>
          <w:shd w:val="clear" w:color="auto" w:fill="FFFFFF" w:themeFill="background1"/>
        </w:rPr>
      </w:pPr>
      <w:r w:rsidRPr="00187A60">
        <w:rPr>
          <w:rFonts w:cstheme="minorHAnsi"/>
          <w:sz w:val="20"/>
          <w:szCs w:val="20"/>
        </w:rPr>
        <w:t xml:space="preserve">La pandémie COVID-19 a vu l’augmentation des violences domestiques en Tunisie et ailleurs. </w:t>
      </w:r>
      <w:r w:rsidRPr="00187A60">
        <w:rPr>
          <w:rFonts w:cstheme="minorHAnsi"/>
          <w:sz w:val="20"/>
          <w:szCs w:val="20"/>
          <w:shd w:val="clear" w:color="auto" w:fill="FFFFFF" w:themeFill="background1"/>
        </w:rPr>
        <w:t>Le ministère tunisien de la Femme a relevé la multiplication par 5 et plus du taux de la violence faite aux femmes pendant le confinement sanitaire général.</w:t>
      </w:r>
    </w:p>
    <w:p w14:paraId="3EEFA9FC" w14:textId="77777777" w:rsidR="00DA7448" w:rsidRPr="00187A60" w:rsidRDefault="00DA7448" w:rsidP="00DA7448">
      <w:pPr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  <w:shd w:val="clear" w:color="auto" w:fill="FFFFFF" w:themeFill="background1"/>
        </w:rPr>
        <w:t xml:space="preserve">Les victimes ne pouvant se déplacer pendant le confinement, se contentent d’alerter les unités spéciales </w:t>
      </w:r>
      <w:r w:rsidRPr="00187A60">
        <w:rPr>
          <w:rFonts w:cstheme="minorHAnsi"/>
          <w:sz w:val="20"/>
          <w:szCs w:val="20"/>
        </w:rPr>
        <w:t xml:space="preserve">de lutte sur les crimes de violence contre la femme, le ministère de la femme à travers le numéro vert 1809 ou les centres d’hébergement. </w:t>
      </w:r>
    </w:p>
    <w:p w14:paraId="0B58EBE9" w14:textId="77777777" w:rsidR="00DA7448" w:rsidRPr="00187A60" w:rsidRDefault="00DA7448" w:rsidP="00DA7448">
      <w:pPr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>L’interdiction de circulation entre délégations a ajouté au problème.</w:t>
      </w:r>
    </w:p>
    <w:p w14:paraId="6D5F086F" w14:textId="77777777" w:rsidR="00DA7448" w:rsidRPr="00187A60" w:rsidRDefault="00DA7448" w:rsidP="00DA7448">
      <w:pPr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>Le stress, la perturbation des liens sociaux, le manque de moyens de substance et des réseaux de protection ainsi que l’accès réduit aux services sont à l’origine de la multiplication des violences domestiques.</w:t>
      </w:r>
    </w:p>
    <w:p w14:paraId="71D36C67" w14:textId="77777777" w:rsidR="00DA7448" w:rsidRPr="00187A60" w:rsidRDefault="00DA7448" w:rsidP="00DA7448">
      <w:pPr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 xml:space="preserve">Après le confinement, les plaintes se sont multipliées par 10 auprès des unités spéciales (environ 40/jour à Bizerte). </w:t>
      </w:r>
    </w:p>
    <w:p w14:paraId="56F2A2C7" w14:textId="77777777" w:rsidR="00DA7448" w:rsidRPr="00187A60" w:rsidRDefault="00DA7448" w:rsidP="00DA7448">
      <w:pPr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>Un autre problème est que les tribunaux sont submergés de dossiers et sont dans l’incapacité de gérer le flux des dossiers.</w:t>
      </w:r>
    </w:p>
    <w:p w14:paraId="355B93C5" w14:textId="77777777" w:rsidR="00B76ACD" w:rsidRPr="00187A60" w:rsidRDefault="00DA7448" w:rsidP="00DA7448">
      <w:pPr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>Ce projet vise à améliorer les conditions de prise en charge des femmes et filles victimes de violences à travers la mise en œuvre de standards minimums dans chacun des secteurs concernés : Sécurité, Justice, et Médias avec un volet transversal relatif à la Coordination.</w:t>
      </w:r>
    </w:p>
    <w:p w14:paraId="1540C07D" w14:textId="77777777" w:rsidR="00642696" w:rsidRPr="00187A60" w:rsidRDefault="00642696" w:rsidP="00DA7448">
      <w:pPr>
        <w:jc w:val="both"/>
        <w:rPr>
          <w:rFonts w:cstheme="minorHAnsi"/>
          <w:sz w:val="20"/>
          <w:szCs w:val="20"/>
        </w:rPr>
      </w:pPr>
    </w:p>
    <w:p w14:paraId="70253FAB" w14:textId="77777777" w:rsidR="00AB240F" w:rsidRPr="00187A60" w:rsidRDefault="00AB240F" w:rsidP="00DA7448">
      <w:pPr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b/>
          <w:bCs/>
          <w:sz w:val="20"/>
          <w:szCs w:val="20"/>
        </w:rPr>
        <w:t>Objectifs</w:t>
      </w:r>
      <w:r w:rsidRPr="00187A60">
        <w:rPr>
          <w:rFonts w:cstheme="minorHAnsi"/>
          <w:sz w:val="20"/>
          <w:szCs w:val="20"/>
        </w:rPr>
        <w:t> :</w:t>
      </w:r>
    </w:p>
    <w:p w14:paraId="60086F2B" w14:textId="77777777" w:rsidR="00AB240F" w:rsidRPr="00187A60" w:rsidRDefault="00AB240F" w:rsidP="00DA7448">
      <w:pPr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>Le travail effectué permettra d’obtenir :</w:t>
      </w:r>
    </w:p>
    <w:p w14:paraId="3E9D9BC3" w14:textId="489C341A" w:rsidR="00AB240F" w:rsidRPr="00187A60" w:rsidRDefault="00AB240F" w:rsidP="00AB240F">
      <w:pPr>
        <w:pStyle w:val="Paragraphedeliste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>Connaissance et application par les agent.es des unités spéciales, les magistrats et avocats du système judiciaire</w:t>
      </w:r>
      <w:r w:rsidR="000C51A1" w:rsidRPr="00187A60">
        <w:rPr>
          <w:rFonts w:cstheme="minorHAnsi"/>
          <w:sz w:val="20"/>
          <w:szCs w:val="20"/>
        </w:rPr>
        <w:t>, les professionnel.les de santé</w:t>
      </w:r>
      <w:r w:rsidRPr="00187A60">
        <w:rPr>
          <w:rFonts w:cstheme="minorHAnsi"/>
          <w:sz w:val="20"/>
          <w:szCs w:val="20"/>
        </w:rPr>
        <w:t xml:space="preserve"> et les professionnel.les des médias du gouvernorat de Bizerte de la loi organique n° 2017-58 du 11 août 2017, relative à l’élimination de la violence à l’égard des femmes.  </w:t>
      </w:r>
    </w:p>
    <w:p w14:paraId="3F6D6B32" w14:textId="4C9751FD" w:rsidR="00AB240F" w:rsidRPr="00187A60" w:rsidRDefault="00AB240F" w:rsidP="00AB240F">
      <w:pPr>
        <w:pStyle w:val="Paragraphedeliste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>Intégration par les agent.es des unités spéciales, les magistrats et avocats du système judiciaire du gouvernorat</w:t>
      </w:r>
      <w:r w:rsidR="00C03451" w:rsidRPr="00187A60">
        <w:rPr>
          <w:rFonts w:cstheme="minorHAnsi"/>
          <w:sz w:val="20"/>
          <w:szCs w:val="20"/>
        </w:rPr>
        <w:t>, les professionnel.les de santé</w:t>
      </w:r>
      <w:r w:rsidRPr="00187A60">
        <w:rPr>
          <w:rFonts w:cstheme="minorHAnsi"/>
          <w:sz w:val="20"/>
          <w:szCs w:val="20"/>
        </w:rPr>
        <w:t xml:space="preserve"> de Bizerte des bonnes pratiques et des principes directeurs en matière de prise en charge des femmes et des filles victimes de violence.</w:t>
      </w:r>
    </w:p>
    <w:p w14:paraId="63B63175" w14:textId="77777777" w:rsidR="00AB240F" w:rsidRPr="00187A60" w:rsidRDefault="00AB240F" w:rsidP="00AB240F">
      <w:pPr>
        <w:pStyle w:val="Paragraphedeliste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>Sensibilisation des professionnel.les des médias pour une mobilisation contre les violences faites aux femmes</w:t>
      </w:r>
    </w:p>
    <w:p w14:paraId="5F943C9B" w14:textId="77777777" w:rsidR="00642696" w:rsidRPr="00187A60" w:rsidRDefault="00642696" w:rsidP="00642696">
      <w:pPr>
        <w:pStyle w:val="Paragraphedeliste"/>
        <w:jc w:val="both"/>
        <w:rPr>
          <w:rFonts w:cstheme="minorHAnsi"/>
          <w:sz w:val="20"/>
          <w:szCs w:val="20"/>
        </w:rPr>
      </w:pPr>
    </w:p>
    <w:p w14:paraId="40D4ABEA" w14:textId="77777777" w:rsidR="00F33D72" w:rsidRPr="00187A60" w:rsidRDefault="00F33D72" w:rsidP="00F33D72">
      <w:pPr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b/>
          <w:bCs/>
          <w:sz w:val="20"/>
          <w:szCs w:val="20"/>
        </w:rPr>
        <w:t>Prestations attendues</w:t>
      </w:r>
      <w:r w:rsidRPr="00187A60">
        <w:rPr>
          <w:rFonts w:cstheme="minorHAnsi"/>
          <w:sz w:val="20"/>
          <w:szCs w:val="20"/>
        </w:rPr>
        <w:t> :</w:t>
      </w:r>
    </w:p>
    <w:p w14:paraId="39D4032E" w14:textId="77777777" w:rsidR="00F33D72" w:rsidRPr="00187A60" w:rsidRDefault="00F33D72" w:rsidP="00DD3833">
      <w:pPr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>Formation 1 :</w:t>
      </w:r>
      <w:r w:rsidR="00DD3833" w:rsidRPr="00187A60">
        <w:rPr>
          <w:rFonts w:cstheme="minorHAnsi"/>
          <w:sz w:val="20"/>
          <w:szCs w:val="20"/>
        </w:rPr>
        <w:t xml:space="preserve"> Deux jours sur la loi 58-2017 au profit des agent.es des unités spéciales du gouvernorat de Bizerte</w:t>
      </w:r>
    </w:p>
    <w:p w14:paraId="158AC704" w14:textId="77777777" w:rsidR="00DD3833" w:rsidRPr="00187A60" w:rsidRDefault="00DD3833" w:rsidP="00DD3833">
      <w:pPr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>Formation 2 : Deux jours sur la loi 58-2017 au profit des juges et avocat(e) concerné.es dans le gouvernorat de Bizerte</w:t>
      </w:r>
    </w:p>
    <w:p w14:paraId="4C30FE0E" w14:textId="00DC7ED2" w:rsidR="00C03451" w:rsidRPr="00187A60" w:rsidRDefault="00DD3833" w:rsidP="00DD3833">
      <w:pPr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 xml:space="preserve">Formation 3 : </w:t>
      </w:r>
      <w:r w:rsidR="00C03451" w:rsidRPr="00187A60">
        <w:rPr>
          <w:rFonts w:cstheme="minorHAnsi"/>
          <w:sz w:val="20"/>
          <w:szCs w:val="20"/>
        </w:rPr>
        <w:t>Un jour au profit des professionnel.les de santé pour une meilleure prise en charge</w:t>
      </w:r>
    </w:p>
    <w:p w14:paraId="0801ACFD" w14:textId="091C8E0B" w:rsidR="00DD3833" w:rsidRPr="00187A60" w:rsidRDefault="00C03451" w:rsidP="00DD3833">
      <w:pPr>
        <w:jc w:val="both"/>
        <w:rPr>
          <w:rFonts w:eastAsia="Arial"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 xml:space="preserve">Formation 4 : </w:t>
      </w:r>
      <w:r w:rsidR="00DD3833" w:rsidRPr="00187A60">
        <w:rPr>
          <w:rFonts w:cstheme="minorHAnsi"/>
          <w:sz w:val="20"/>
          <w:szCs w:val="20"/>
        </w:rPr>
        <w:t xml:space="preserve">Un jour au profit des professionnels des médias </w:t>
      </w:r>
      <w:r w:rsidR="00DD3833" w:rsidRPr="00187A60">
        <w:rPr>
          <w:rFonts w:eastAsia="Arial" w:cstheme="minorHAnsi"/>
          <w:sz w:val="20"/>
          <w:szCs w:val="20"/>
        </w:rPr>
        <w:t>pour une meilleure compréhension des besoins spécifiques des femmes et des jeunes en matière de lutte contre la violence</w:t>
      </w:r>
    </w:p>
    <w:p w14:paraId="435612CB" w14:textId="4AB671AE" w:rsidR="00642696" w:rsidRDefault="00642696" w:rsidP="00DD3833">
      <w:pPr>
        <w:jc w:val="both"/>
        <w:rPr>
          <w:rFonts w:eastAsia="Arial" w:cstheme="minorHAnsi"/>
          <w:sz w:val="20"/>
          <w:szCs w:val="20"/>
        </w:rPr>
      </w:pPr>
    </w:p>
    <w:p w14:paraId="543404FD" w14:textId="77777777" w:rsidR="0075069E" w:rsidRPr="00187A60" w:rsidRDefault="0075069E" w:rsidP="00DD3833">
      <w:pPr>
        <w:jc w:val="both"/>
        <w:rPr>
          <w:rFonts w:eastAsia="Arial" w:cstheme="minorHAnsi"/>
          <w:sz w:val="20"/>
          <w:szCs w:val="20"/>
        </w:rPr>
      </w:pPr>
    </w:p>
    <w:p w14:paraId="581BC804" w14:textId="77777777" w:rsidR="00A37DD7" w:rsidRPr="00187A60" w:rsidRDefault="00A37DD7" w:rsidP="00DD3833">
      <w:pPr>
        <w:jc w:val="both"/>
        <w:rPr>
          <w:rFonts w:eastAsia="Arial" w:cstheme="minorHAnsi"/>
          <w:sz w:val="20"/>
          <w:szCs w:val="20"/>
        </w:rPr>
      </w:pPr>
      <w:r w:rsidRPr="00187A60">
        <w:rPr>
          <w:rFonts w:eastAsia="Arial" w:cstheme="minorHAnsi"/>
          <w:b/>
          <w:bCs/>
          <w:sz w:val="20"/>
          <w:szCs w:val="20"/>
        </w:rPr>
        <w:t>Livrables</w:t>
      </w:r>
      <w:r w:rsidRPr="00187A60">
        <w:rPr>
          <w:rFonts w:eastAsia="Arial" w:cstheme="minorHAnsi"/>
          <w:sz w:val="20"/>
          <w:szCs w:val="20"/>
        </w:rPr>
        <w:t> :</w:t>
      </w:r>
    </w:p>
    <w:p w14:paraId="3CD52C3A" w14:textId="77777777" w:rsidR="00A37DD7" w:rsidRPr="00187A60" w:rsidRDefault="00A37DD7" w:rsidP="00A37DD7">
      <w:pPr>
        <w:pStyle w:val="Paragraphedeliste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>Programme de la formation</w:t>
      </w:r>
    </w:p>
    <w:p w14:paraId="590E80B0" w14:textId="77777777" w:rsidR="00A37DD7" w:rsidRPr="00187A60" w:rsidRDefault="00A37DD7" w:rsidP="00A37DD7">
      <w:pPr>
        <w:pStyle w:val="Paragraphedeliste"/>
        <w:numPr>
          <w:ilvl w:val="0"/>
          <w:numId w:val="2"/>
        </w:numPr>
        <w:jc w:val="both"/>
        <w:rPr>
          <w:rFonts w:eastAsia="Arial"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 xml:space="preserve"> Supports de formation</w:t>
      </w:r>
    </w:p>
    <w:p w14:paraId="1C6BD50E" w14:textId="11686C8C" w:rsidR="00A37DD7" w:rsidRPr="00F64F8F" w:rsidRDefault="00A37DD7" w:rsidP="00A37DD7">
      <w:pPr>
        <w:pStyle w:val="Paragraphedeliste"/>
        <w:numPr>
          <w:ilvl w:val="0"/>
          <w:numId w:val="2"/>
        </w:numPr>
        <w:jc w:val="both"/>
        <w:rPr>
          <w:rFonts w:eastAsia="Arial"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 xml:space="preserve"> Rapport de formation</w:t>
      </w:r>
    </w:p>
    <w:p w14:paraId="6E18E204" w14:textId="25D9B2BD" w:rsidR="00F64F8F" w:rsidRPr="00187A60" w:rsidRDefault="00F64F8F" w:rsidP="00A37DD7">
      <w:pPr>
        <w:pStyle w:val="Paragraphedeliste"/>
        <w:numPr>
          <w:ilvl w:val="0"/>
          <w:numId w:val="2"/>
        </w:numPr>
        <w:jc w:val="both"/>
        <w:rPr>
          <w:rFonts w:eastAsia="Arial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Note pour le plaidoyer</w:t>
      </w:r>
    </w:p>
    <w:p w14:paraId="6FD929E3" w14:textId="77777777" w:rsidR="00870AF7" w:rsidRPr="00187A60" w:rsidRDefault="00870AF7" w:rsidP="00870AF7">
      <w:pPr>
        <w:pStyle w:val="Paragraphedeliste"/>
        <w:jc w:val="both"/>
        <w:rPr>
          <w:rFonts w:eastAsia="Arial" w:cstheme="minorHAnsi"/>
          <w:sz w:val="20"/>
          <w:szCs w:val="20"/>
        </w:rPr>
      </w:pPr>
    </w:p>
    <w:p w14:paraId="7928E551" w14:textId="77777777" w:rsidR="00870AF7" w:rsidRPr="00187A60" w:rsidRDefault="00870AF7" w:rsidP="00D65C62">
      <w:pPr>
        <w:jc w:val="both"/>
        <w:rPr>
          <w:rFonts w:cstheme="minorHAnsi"/>
          <w:b/>
          <w:bCs/>
          <w:sz w:val="20"/>
          <w:szCs w:val="20"/>
        </w:rPr>
      </w:pPr>
      <w:r w:rsidRPr="00187A60">
        <w:rPr>
          <w:rFonts w:cstheme="minorHAnsi"/>
          <w:b/>
          <w:bCs/>
          <w:sz w:val="20"/>
          <w:szCs w:val="20"/>
        </w:rPr>
        <w:t xml:space="preserve">Conditions de la consultation </w:t>
      </w:r>
    </w:p>
    <w:p w14:paraId="30F25E5F" w14:textId="130F90F1" w:rsidR="00D65C62" w:rsidRPr="00187A60" w:rsidRDefault="00870AF7" w:rsidP="00D65C62">
      <w:pPr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 xml:space="preserve">Début : </w:t>
      </w:r>
      <w:r w:rsidR="00B442B5">
        <w:rPr>
          <w:rFonts w:cstheme="minorHAnsi"/>
          <w:sz w:val="20"/>
          <w:szCs w:val="20"/>
        </w:rPr>
        <w:t xml:space="preserve">9 jours </w:t>
      </w:r>
      <w:r w:rsidRPr="00187A60">
        <w:rPr>
          <w:rFonts w:cstheme="minorHAnsi"/>
          <w:sz w:val="20"/>
          <w:szCs w:val="20"/>
        </w:rPr>
        <w:t>à la signature du contrat</w:t>
      </w:r>
    </w:p>
    <w:p w14:paraId="5D1B256C" w14:textId="77777777" w:rsidR="00870AF7" w:rsidRPr="00187A60" w:rsidRDefault="00870AF7" w:rsidP="00D65C62">
      <w:pPr>
        <w:jc w:val="both"/>
        <w:rPr>
          <w:rFonts w:eastAsia="Arial" w:cstheme="minorHAnsi"/>
          <w:sz w:val="20"/>
          <w:szCs w:val="20"/>
        </w:rPr>
      </w:pPr>
    </w:p>
    <w:p w14:paraId="757781F0" w14:textId="77777777" w:rsidR="00D65C62" w:rsidRPr="00187A60" w:rsidRDefault="00D65C62" w:rsidP="00D65C62">
      <w:pPr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b/>
          <w:bCs/>
          <w:sz w:val="20"/>
          <w:szCs w:val="20"/>
        </w:rPr>
        <w:t>Qualifications / Expérience du ou de la consultant-e</w:t>
      </w:r>
      <w:r w:rsidRPr="00187A60">
        <w:rPr>
          <w:rFonts w:cstheme="minorHAnsi"/>
          <w:sz w:val="20"/>
          <w:szCs w:val="20"/>
        </w:rPr>
        <w:t xml:space="preserve"> : </w:t>
      </w:r>
    </w:p>
    <w:p w14:paraId="04C0CF00" w14:textId="77777777" w:rsidR="00D65C62" w:rsidRPr="00187A60" w:rsidRDefault="00D65C62" w:rsidP="00D65C62">
      <w:pPr>
        <w:pStyle w:val="Paragraphedeliste"/>
        <w:numPr>
          <w:ilvl w:val="0"/>
          <w:numId w:val="3"/>
        </w:numPr>
        <w:jc w:val="both"/>
        <w:rPr>
          <w:rFonts w:eastAsia="Arial"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 xml:space="preserve">Sensibilité, connaissances et expérience démontrées des droits humains fondamentaux, concepts relatifs aux Genre et à la Violence fondée sur le Genre, notamment des violences faites aux femmes &amp; aux filles ainsi que des besoins spécifiques des femmes &amp; filles victimes de ces violences. </w:t>
      </w:r>
    </w:p>
    <w:p w14:paraId="73D1DB62" w14:textId="77777777" w:rsidR="00D65C62" w:rsidRPr="00187A60" w:rsidRDefault="00D65C62" w:rsidP="00D65C62">
      <w:pPr>
        <w:pStyle w:val="Paragraphedeliste"/>
        <w:numPr>
          <w:ilvl w:val="0"/>
          <w:numId w:val="3"/>
        </w:numPr>
        <w:jc w:val="both"/>
        <w:rPr>
          <w:rFonts w:eastAsia="Arial"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 xml:space="preserve">Expérience du développement de modules de formation et de conduite de formations d’adultes requise, si possible à un public de magistrats et unités spéciales.  </w:t>
      </w:r>
    </w:p>
    <w:p w14:paraId="54DA3B22" w14:textId="683F71DA" w:rsidR="00D65C62" w:rsidRPr="00187A60" w:rsidRDefault="00D65C62" w:rsidP="00D65C62">
      <w:pPr>
        <w:pStyle w:val="Paragraphedeliste"/>
        <w:numPr>
          <w:ilvl w:val="0"/>
          <w:numId w:val="3"/>
        </w:numPr>
        <w:jc w:val="both"/>
        <w:rPr>
          <w:rFonts w:eastAsia="Arial"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>Excellente maitrise des langues française et arabes, à l’écrit comme à l’oral.</w:t>
      </w:r>
    </w:p>
    <w:p w14:paraId="071ADE1F" w14:textId="77777777" w:rsidR="0075069E" w:rsidRDefault="0075069E" w:rsidP="00187A60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732BF6FD" w14:textId="6AB04383" w:rsidR="00187A60" w:rsidRPr="00187A60" w:rsidRDefault="00187A60" w:rsidP="00187A60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187A60">
        <w:rPr>
          <w:rFonts w:asciiTheme="minorHAnsi" w:hAnsiTheme="minorHAnsi" w:cstheme="minorHAnsi"/>
          <w:b/>
          <w:bCs/>
          <w:sz w:val="20"/>
          <w:szCs w:val="20"/>
        </w:rPr>
        <w:t>Grille d’évaluation : L’offre sera examinée selon la grille ci-dessous :</w:t>
      </w:r>
    </w:p>
    <w:p w14:paraId="78AF3F45" w14:textId="77777777" w:rsidR="00187A60" w:rsidRPr="00187A60" w:rsidRDefault="00187A60" w:rsidP="00187A60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1"/>
        <w:gridCol w:w="5808"/>
        <w:gridCol w:w="2303"/>
      </w:tblGrid>
      <w:tr w:rsidR="00187A60" w:rsidRPr="00187A60" w14:paraId="56F39E13" w14:textId="77777777" w:rsidTr="007C7E4D">
        <w:tc>
          <w:tcPr>
            <w:tcW w:w="6909" w:type="dxa"/>
            <w:gridSpan w:val="2"/>
          </w:tcPr>
          <w:p w14:paraId="761B218A" w14:textId="77777777" w:rsidR="00187A60" w:rsidRPr="00187A60" w:rsidRDefault="00187A60" w:rsidP="007C7E4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A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CRITERES</w:t>
            </w:r>
          </w:p>
        </w:tc>
        <w:tc>
          <w:tcPr>
            <w:tcW w:w="2303" w:type="dxa"/>
          </w:tcPr>
          <w:p w14:paraId="09E2A57F" w14:textId="77777777" w:rsidR="00187A60" w:rsidRPr="00187A60" w:rsidRDefault="00187A60" w:rsidP="007C7E4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87A60">
              <w:rPr>
                <w:rFonts w:asciiTheme="minorHAnsi" w:hAnsiTheme="minorHAnsi" w:cstheme="minorHAnsi"/>
                <w:sz w:val="20"/>
                <w:szCs w:val="20"/>
              </w:rPr>
              <w:t>PONCTUATION 1000</w:t>
            </w:r>
          </w:p>
        </w:tc>
      </w:tr>
      <w:tr w:rsidR="00187A60" w:rsidRPr="00187A60" w14:paraId="3BF4304A" w14:textId="77777777" w:rsidTr="007C7E4D">
        <w:tc>
          <w:tcPr>
            <w:tcW w:w="1101" w:type="dxa"/>
          </w:tcPr>
          <w:p w14:paraId="5B042DCB" w14:textId="77777777" w:rsidR="00187A60" w:rsidRPr="00187A60" w:rsidRDefault="00187A60" w:rsidP="007C7E4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87A60">
              <w:rPr>
                <w:rFonts w:asciiTheme="minorHAnsi" w:hAnsiTheme="minorHAnsi" w:cstheme="minorHAnsi"/>
                <w:sz w:val="20"/>
                <w:szCs w:val="20"/>
              </w:rPr>
              <w:t>Section 1</w:t>
            </w:r>
          </w:p>
        </w:tc>
        <w:tc>
          <w:tcPr>
            <w:tcW w:w="5808" w:type="dxa"/>
          </w:tcPr>
          <w:p w14:paraId="4A5DBE5B" w14:textId="77777777" w:rsidR="00187A60" w:rsidRPr="00187A60" w:rsidRDefault="00187A60" w:rsidP="007C7E4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A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Expertise du soumissionnaire</w:t>
            </w:r>
          </w:p>
        </w:tc>
        <w:tc>
          <w:tcPr>
            <w:tcW w:w="2303" w:type="dxa"/>
          </w:tcPr>
          <w:p w14:paraId="095C7B55" w14:textId="77777777" w:rsidR="00187A60" w:rsidRPr="00187A60" w:rsidRDefault="00187A60" w:rsidP="007C7E4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87A60"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</w:tr>
      <w:tr w:rsidR="00187A60" w:rsidRPr="00187A60" w14:paraId="461DA662" w14:textId="77777777" w:rsidTr="007C7E4D">
        <w:tc>
          <w:tcPr>
            <w:tcW w:w="1101" w:type="dxa"/>
          </w:tcPr>
          <w:p w14:paraId="21ED5A81" w14:textId="77777777" w:rsidR="00187A60" w:rsidRPr="00187A60" w:rsidRDefault="00187A60" w:rsidP="007C7E4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87A60">
              <w:rPr>
                <w:rFonts w:asciiTheme="minorHAnsi" w:hAnsiTheme="minorHAnsi" w:cstheme="minorHAnsi"/>
                <w:sz w:val="20"/>
                <w:szCs w:val="20"/>
              </w:rPr>
              <w:t>1.1</w:t>
            </w:r>
          </w:p>
        </w:tc>
        <w:tc>
          <w:tcPr>
            <w:tcW w:w="5808" w:type="dxa"/>
          </w:tcPr>
          <w:p w14:paraId="29B5D59D" w14:textId="77777777" w:rsidR="00187A60" w:rsidRPr="00187A60" w:rsidRDefault="00187A60" w:rsidP="007C7E4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87A60">
              <w:rPr>
                <w:rFonts w:asciiTheme="minorHAnsi" w:hAnsiTheme="minorHAnsi" w:cstheme="minorHAnsi"/>
                <w:sz w:val="20"/>
                <w:szCs w:val="20"/>
              </w:rPr>
              <w:t xml:space="preserve">Expérience dans des projets similaires </w:t>
            </w:r>
          </w:p>
        </w:tc>
        <w:tc>
          <w:tcPr>
            <w:tcW w:w="2303" w:type="dxa"/>
          </w:tcPr>
          <w:p w14:paraId="3FD0BE34" w14:textId="77777777" w:rsidR="00187A60" w:rsidRPr="00187A60" w:rsidRDefault="00187A60" w:rsidP="007C7E4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87A60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</w:tr>
      <w:tr w:rsidR="00187A60" w:rsidRPr="00187A60" w14:paraId="0AB002D7" w14:textId="77777777" w:rsidTr="007C7E4D">
        <w:tc>
          <w:tcPr>
            <w:tcW w:w="1101" w:type="dxa"/>
          </w:tcPr>
          <w:p w14:paraId="7A84E11A" w14:textId="77777777" w:rsidR="00187A60" w:rsidRPr="00187A60" w:rsidRDefault="00187A60" w:rsidP="007C7E4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87A60">
              <w:rPr>
                <w:rFonts w:asciiTheme="minorHAnsi" w:hAnsiTheme="minorHAnsi" w:cstheme="minorHAnsi"/>
                <w:sz w:val="20"/>
                <w:szCs w:val="20"/>
              </w:rPr>
              <w:t>Section 2</w:t>
            </w:r>
          </w:p>
        </w:tc>
        <w:tc>
          <w:tcPr>
            <w:tcW w:w="5808" w:type="dxa"/>
          </w:tcPr>
          <w:p w14:paraId="56BCAB0A" w14:textId="77777777" w:rsidR="00187A60" w:rsidRPr="00187A60" w:rsidRDefault="00187A60" w:rsidP="007C7E4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A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Compétences exigées</w:t>
            </w:r>
          </w:p>
        </w:tc>
        <w:tc>
          <w:tcPr>
            <w:tcW w:w="2303" w:type="dxa"/>
          </w:tcPr>
          <w:p w14:paraId="1EFA7D92" w14:textId="77777777" w:rsidR="00187A60" w:rsidRPr="00187A60" w:rsidRDefault="00187A60" w:rsidP="007C7E4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87A60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</w:tr>
      <w:tr w:rsidR="00187A60" w:rsidRPr="00187A60" w14:paraId="521E1EBC" w14:textId="77777777" w:rsidTr="007C7E4D">
        <w:tc>
          <w:tcPr>
            <w:tcW w:w="1101" w:type="dxa"/>
          </w:tcPr>
          <w:p w14:paraId="1D699972" w14:textId="77777777" w:rsidR="00187A60" w:rsidRPr="00187A60" w:rsidRDefault="00187A60" w:rsidP="007C7E4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87A60">
              <w:rPr>
                <w:rFonts w:asciiTheme="minorHAnsi" w:hAnsiTheme="minorHAnsi" w:cstheme="minorHAnsi"/>
                <w:sz w:val="20"/>
                <w:szCs w:val="20"/>
              </w:rPr>
              <w:t>2.1</w:t>
            </w:r>
          </w:p>
        </w:tc>
        <w:tc>
          <w:tcPr>
            <w:tcW w:w="5808" w:type="dxa"/>
          </w:tcPr>
          <w:p w14:paraId="77306BC0" w14:textId="77777777" w:rsidR="00187A60" w:rsidRPr="00187A60" w:rsidRDefault="00187A60" w:rsidP="007C7E4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87A60">
              <w:rPr>
                <w:rFonts w:asciiTheme="minorHAnsi" w:hAnsiTheme="minorHAnsi" w:cstheme="minorHAnsi"/>
                <w:sz w:val="20"/>
                <w:szCs w:val="20"/>
              </w:rPr>
              <w:t>Qualification financières</w:t>
            </w:r>
          </w:p>
        </w:tc>
        <w:tc>
          <w:tcPr>
            <w:tcW w:w="2303" w:type="dxa"/>
          </w:tcPr>
          <w:p w14:paraId="17A28D94" w14:textId="77777777" w:rsidR="00187A60" w:rsidRPr="00187A60" w:rsidRDefault="00187A60" w:rsidP="007C7E4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87A60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</w:tr>
      <w:tr w:rsidR="00187A60" w:rsidRPr="00187A60" w14:paraId="0BE92775" w14:textId="77777777" w:rsidTr="007C7E4D">
        <w:tc>
          <w:tcPr>
            <w:tcW w:w="1101" w:type="dxa"/>
          </w:tcPr>
          <w:p w14:paraId="688E066F" w14:textId="77777777" w:rsidR="00187A60" w:rsidRPr="00187A60" w:rsidRDefault="00187A60" w:rsidP="007C7E4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87A60">
              <w:rPr>
                <w:rFonts w:asciiTheme="minorHAnsi" w:hAnsiTheme="minorHAnsi" w:cstheme="minorHAnsi"/>
                <w:sz w:val="20"/>
                <w:szCs w:val="20"/>
              </w:rPr>
              <w:t>2.2</w:t>
            </w:r>
          </w:p>
        </w:tc>
        <w:tc>
          <w:tcPr>
            <w:tcW w:w="5808" w:type="dxa"/>
          </w:tcPr>
          <w:p w14:paraId="2B99BEFF" w14:textId="77777777" w:rsidR="00187A60" w:rsidRPr="00187A60" w:rsidRDefault="00187A60" w:rsidP="007C7E4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87A60">
              <w:rPr>
                <w:rFonts w:asciiTheme="minorHAnsi" w:hAnsiTheme="minorHAnsi" w:cstheme="minorHAnsi"/>
                <w:sz w:val="20"/>
                <w:szCs w:val="20"/>
              </w:rPr>
              <w:t>Travail d’équipe</w:t>
            </w:r>
          </w:p>
        </w:tc>
        <w:tc>
          <w:tcPr>
            <w:tcW w:w="2303" w:type="dxa"/>
          </w:tcPr>
          <w:p w14:paraId="4440FAFA" w14:textId="77777777" w:rsidR="00187A60" w:rsidRPr="00187A60" w:rsidRDefault="00187A60" w:rsidP="007C7E4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87A60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</w:tr>
      <w:tr w:rsidR="00187A60" w:rsidRPr="00187A60" w14:paraId="50717149" w14:textId="77777777" w:rsidTr="007C7E4D">
        <w:tc>
          <w:tcPr>
            <w:tcW w:w="1101" w:type="dxa"/>
          </w:tcPr>
          <w:p w14:paraId="0A9B76CB" w14:textId="77777777" w:rsidR="00187A60" w:rsidRPr="00187A60" w:rsidRDefault="00187A60" w:rsidP="007C7E4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87A60">
              <w:rPr>
                <w:rFonts w:asciiTheme="minorHAnsi" w:hAnsiTheme="minorHAnsi" w:cstheme="minorHAnsi"/>
                <w:sz w:val="20"/>
                <w:szCs w:val="20"/>
              </w:rPr>
              <w:t>Section 3</w:t>
            </w:r>
          </w:p>
        </w:tc>
        <w:tc>
          <w:tcPr>
            <w:tcW w:w="5808" w:type="dxa"/>
          </w:tcPr>
          <w:p w14:paraId="09290192" w14:textId="77777777" w:rsidR="00187A60" w:rsidRPr="00187A60" w:rsidRDefault="00187A60" w:rsidP="007C7E4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7A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Offre financière</w:t>
            </w:r>
          </w:p>
        </w:tc>
        <w:tc>
          <w:tcPr>
            <w:tcW w:w="2303" w:type="dxa"/>
          </w:tcPr>
          <w:p w14:paraId="052DFDE2" w14:textId="77777777" w:rsidR="00187A60" w:rsidRPr="00187A60" w:rsidRDefault="00187A60" w:rsidP="007C7E4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87A60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</w:tr>
      <w:tr w:rsidR="00187A60" w:rsidRPr="00187A60" w14:paraId="3BE29BC5" w14:textId="77777777" w:rsidTr="007C7E4D">
        <w:tc>
          <w:tcPr>
            <w:tcW w:w="1101" w:type="dxa"/>
          </w:tcPr>
          <w:p w14:paraId="2B13E17A" w14:textId="77777777" w:rsidR="00187A60" w:rsidRPr="00187A60" w:rsidRDefault="00187A60" w:rsidP="007C7E4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87A60">
              <w:rPr>
                <w:rFonts w:asciiTheme="minorHAnsi" w:hAnsiTheme="minorHAnsi" w:cstheme="minorHAnsi"/>
                <w:sz w:val="20"/>
                <w:szCs w:val="20"/>
              </w:rPr>
              <w:t>3.1</w:t>
            </w:r>
          </w:p>
        </w:tc>
        <w:tc>
          <w:tcPr>
            <w:tcW w:w="5808" w:type="dxa"/>
          </w:tcPr>
          <w:p w14:paraId="34BDC4A3" w14:textId="77777777" w:rsidR="00187A60" w:rsidRPr="00187A60" w:rsidRDefault="00187A60" w:rsidP="007C7E4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87A60">
              <w:rPr>
                <w:rFonts w:asciiTheme="minorHAnsi" w:hAnsiTheme="minorHAnsi" w:cstheme="minorHAnsi"/>
                <w:sz w:val="20"/>
                <w:szCs w:val="20"/>
              </w:rPr>
              <w:t>Pertinence de l’offre financière</w:t>
            </w:r>
          </w:p>
        </w:tc>
        <w:tc>
          <w:tcPr>
            <w:tcW w:w="2303" w:type="dxa"/>
          </w:tcPr>
          <w:p w14:paraId="6F2D6758" w14:textId="77777777" w:rsidR="00187A60" w:rsidRPr="00187A60" w:rsidRDefault="00187A60" w:rsidP="007C7E4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87A60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</w:tr>
    </w:tbl>
    <w:p w14:paraId="7F7EB7B1" w14:textId="77777777" w:rsidR="00187A60" w:rsidRPr="00187A60" w:rsidRDefault="00187A60" w:rsidP="00187A6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87A60">
        <w:rPr>
          <w:rFonts w:asciiTheme="minorHAnsi" w:hAnsiTheme="minorHAnsi" w:cstheme="minorHAnsi"/>
          <w:sz w:val="20"/>
          <w:szCs w:val="20"/>
        </w:rPr>
        <w:t>A l’issue de cette phase toutes les offres ayant obtenu une note technique inférieure à la note technique minimale de 700 points qui représente 70% des points totaux de la proposition technique seront rejetés (notée sur 1000 points)</w:t>
      </w:r>
    </w:p>
    <w:p w14:paraId="37E58EE9" w14:textId="77777777" w:rsidR="00187A60" w:rsidRDefault="00187A60" w:rsidP="00187A60">
      <w:pPr>
        <w:jc w:val="both"/>
        <w:rPr>
          <w:rFonts w:cstheme="minorHAnsi"/>
          <w:b/>
          <w:bCs/>
          <w:sz w:val="20"/>
          <w:szCs w:val="20"/>
        </w:rPr>
      </w:pPr>
    </w:p>
    <w:p w14:paraId="3B5A0D6B" w14:textId="6CE21251" w:rsidR="00187A60" w:rsidRPr="00187A60" w:rsidRDefault="00187A60" w:rsidP="00187A60">
      <w:pPr>
        <w:jc w:val="both"/>
        <w:rPr>
          <w:rFonts w:cstheme="minorHAnsi"/>
          <w:b/>
          <w:bCs/>
          <w:sz w:val="20"/>
          <w:szCs w:val="20"/>
        </w:rPr>
      </w:pPr>
      <w:r w:rsidRPr="00187A60">
        <w:rPr>
          <w:rFonts w:cstheme="minorHAnsi"/>
          <w:b/>
          <w:bCs/>
          <w:sz w:val="20"/>
          <w:szCs w:val="20"/>
        </w:rPr>
        <w:t>Dossier de candidature</w:t>
      </w:r>
    </w:p>
    <w:p w14:paraId="08C18F20" w14:textId="77777777" w:rsidR="00187A60" w:rsidRPr="00187A60" w:rsidRDefault="00187A60" w:rsidP="00187A60">
      <w:pPr>
        <w:pStyle w:val="Paragraphedeliste"/>
        <w:numPr>
          <w:ilvl w:val="0"/>
          <w:numId w:val="4"/>
        </w:numPr>
        <w:ind w:left="0"/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>Une lettre de motivation</w:t>
      </w:r>
    </w:p>
    <w:p w14:paraId="049C7C85" w14:textId="77777777" w:rsidR="00187A60" w:rsidRPr="00187A60" w:rsidRDefault="00187A60" w:rsidP="00187A60">
      <w:pPr>
        <w:pStyle w:val="Paragraphedeliste"/>
        <w:numPr>
          <w:ilvl w:val="0"/>
          <w:numId w:val="4"/>
        </w:numPr>
        <w:ind w:left="0"/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>Un CV</w:t>
      </w:r>
    </w:p>
    <w:p w14:paraId="0261AF25" w14:textId="77777777" w:rsidR="00187A60" w:rsidRPr="00187A60" w:rsidRDefault="00187A60" w:rsidP="00187A60">
      <w:pPr>
        <w:pStyle w:val="Paragraphedeliste"/>
        <w:numPr>
          <w:ilvl w:val="0"/>
          <w:numId w:val="4"/>
        </w:numPr>
        <w:ind w:left="0"/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>Une proposition financière</w:t>
      </w:r>
    </w:p>
    <w:p w14:paraId="5DB605FB" w14:textId="77777777" w:rsidR="00187A60" w:rsidRDefault="00187A60" w:rsidP="00187A60">
      <w:pPr>
        <w:jc w:val="both"/>
        <w:rPr>
          <w:rFonts w:cstheme="minorHAnsi"/>
          <w:b/>
          <w:bCs/>
          <w:sz w:val="20"/>
          <w:szCs w:val="20"/>
        </w:rPr>
      </w:pPr>
    </w:p>
    <w:p w14:paraId="7888D416" w14:textId="7CA84041" w:rsidR="00187A60" w:rsidRPr="00187A60" w:rsidRDefault="00187A60" w:rsidP="00187A60">
      <w:pPr>
        <w:jc w:val="both"/>
        <w:rPr>
          <w:rFonts w:cstheme="minorHAnsi"/>
          <w:b/>
          <w:bCs/>
          <w:sz w:val="20"/>
          <w:szCs w:val="20"/>
        </w:rPr>
      </w:pPr>
      <w:r w:rsidRPr="00187A60">
        <w:rPr>
          <w:rFonts w:cstheme="minorHAnsi"/>
          <w:b/>
          <w:bCs/>
          <w:sz w:val="20"/>
          <w:szCs w:val="20"/>
        </w:rPr>
        <w:t>Soumission de la candidature à ADD</w:t>
      </w:r>
    </w:p>
    <w:p w14:paraId="343D524C" w14:textId="322F69B6" w:rsidR="00187A60" w:rsidRPr="00187A60" w:rsidRDefault="00187A60" w:rsidP="00187A60">
      <w:pPr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sz w:val="20"/>
          <w:szCs w:val="20"/>
        </w:rPr>
        <w:t xml:space="preserve">Si vous êtes intéressé-e par l’offre, vous êtes prié-e de bien vouloir soumettre votre candidature à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droit.difference</w:t>
      </w:r>
      <w:r w:rsidRPr="00187A60">
        <w:rPr>
          <w:rFonts w:cstheme="minorHAnsi"/>
          <w:color w:val="222222"/>
          <w:sz w:val="20"/>
          <w:szCs w:val="20"/>
          <w:shd w:val="clear" w:color="auto" w:fill="FFFFFF"/>
        </w:rPr>
        <w:t>@gmail.com</w:t>
      </w:r>
      <w:r w:rsidRPr="00187A60">
        <w:rPr>
          <w:rFonts w:cstheme="minorHAnsi"/>
          <w:sz w:val="20"/>
          <w:szCs w:val="20"/>
        </w:rPr>
        <w:t xml:space="preserve"> La candidature doit inclure votre CV, une lettre de motivation, une offre financière et des références professionnelles, avant le </w:t>
      </w:r>
      <w:r w:rsidR="00EE1126">
        <w:rPr>
          <w:rFonts w:cstheme="minorHAnsi"/>
          <w:sz w:val="20"/>
          <w:szCs w:val="20"/>
        </w:rPr>
        <w:t>2</w:t>
      </w:r>
      <w:r w:rsidR="004C6B70">
        <w:rPr>
          <w:rFonts w:cstheme="minorHAnsi"/>
          <w:sz w:val="20"/>
          <w:szCs w:val="20"/>
        </w:rPr>
        <w:t>6</w:t>
      </w:r>
      <w:r w:rsidR="00EE1126">
        <w:rPr>
          <w:rFonts w:cstheme="minorHAnsi"/>
          <w:sz w:val="20"/>
          <w:szCs w:val="20"/>
        </w:rPr>
        <w:t xml:space="preserve"> novembre</w:t>
      </w:r>
      <w:r w:rsidRPr="00187A60">
        <w:rPr>
          <w:rFonts w:cstheme="minorHAnsi"/>
          <w:sz w:val="20"/>
          <w:szCs w:val="20"/>
        </w:rPr>
        <w:t xml:space="preserve"> 2020 avec la référence en objet : « Recrutement consultant/e </w:t>
      </w:r>
      <w:r>
        <w:rPr>
          <w:rFonts w:cstheme="minorHAnsi"/>
          <w:sz w:val="20"/>
          <w:szCs w:val="20"/>
        </w:rPr>
        <w:t>loi 58-2017-</w:t>
      </w:r>
      <w:r w:rsidRPr="00187A60">
        <w:rPr>
          <w:rFonts w:cstheme="minorHAnsi"/>
          <w:sz w:val="20"/>
          <w:szCs w:val="20"/>
        </w:rPr>
        <w:t>Droit à la différence ».  Seules les personnes dont les candidatures seront pré- sélectionnées seront contactées.</w:t>
      </w:r>
    </w:p>
    <w:p w14:paraId="2F8AF338" w14:textId="77777777" w:rsidR="00187A60" w:rsidRPr="00187A60" w:rsidRDefault="00187A60" w:rsidP="00187A60">
      <w:pPr>
        <w:jc w:val="both"/>
        <w:rPr>
          <w:rFonts w:cstheme="minorHAnsi"/>
          <w:sz w:val="20"/>
          <w:szCs w:val="20"/>
        </w:rPr>
      </w:pPr>
      <w:r w:rsidRPr="00187A60">
        <w:rPr>
          <w:rFonts w:cstheme="minorHAnsi"/>
          <w:b/>
          <w:bCs/>
          <w:sz w:val="20"/>
          <w:szCs w:val="20"/>
        </w:rPr>
        <w:t>NOTA</w:t>
      </w:r>
      <w:r w:rsidRPr="00187A60">
        <w:rPr>
          <w:rFonts w:cstheme="minorHAnsi"/>
          <w:sz w:val="20"/>
          <w:szCs w:val="20"/>
        </w:rPr>
        <w:t> : Les candidatures des personnes différentes sont encouragées</w:t>
      </w:r>
    </w:p>
    <w:p w14:paraId="64FF9BA0" w14:textId="77777777" w:rsidR="00187A60" w:rsidRPr="00187A60" w:rsidRDefault="00187A60" w:rsidP="00187A60">
      <w:pPr>
        <w:jc w:val="both"/>
        <w:rPr>
          <w:rFonts w:eastAsia="Arial" w:cstheme="minorHAnsi"/>
          <w:sz w:val="20"/>
          <w:szCs w:val="20"/>
        </w:rPr>
      </w:pPr>
    </w:p>
    <w:p w14:paraId="531B5CFE" w14:textId="77777777" w:rsidR="00A37DD7" w:rsidRPr="00187A60" w:rsidRDefault="00A37DD7" w:rsidP="00DD3833">
      <w:pPr>
        <w:jc w:val="both"/>
        <w:rPr>
          <w:rFonts w:cstheme="minorHAnsi"/>
          <w:sz w:val="20"/>
          <w:szCs w:val="20"/>
        </w:rPr>
      </w:pPr>
    </w:p>
    <w:p w14:paraId="0855DE35" w14:textId="50B35EA3" w:rsidR="00723DC5" w:rsidRPr="00187A60" w:rsidRDefault="00723DC5" w:rsidP="00DA7448">
      <w:pPr>
        <w:jc w:val="both"/>
        <w:rPr>
          <w:rFonts w:cstheme="minorHAnsi"/>
          <w:sz w:val="20"/>
          <w:szCs w:val="20"/>
        </w:rPr>
      </w:pPr>
    </w:p>
    <w:p w14:paraId="613A4209" w14:textId="77777777" w:rsidR="00723DC5" w:rsidRPr="00187A60" w:rsidRDefault="00723DC5" w:rsidP="00DA7448">
      <w:pPr>
        <w:jc w:val="both"/>
        <w:rPr>
          <w:rFonts w:cstheme="minorHAnsi"/>
          <w:sz w:val="20"/>
          <w:szCs w:val="20"/>
        </w:rPr>
      </w:pPr>
    </w:p>
    <w:sectPr w:rsidR="00723DC5" w:rsidRPr="00187A60" w:rsidSect="00EF7773">
      <w:headerReference w:type="default" r:id="rId7"/>
      <w:footerReference w:type="default" r:id="rId8"/>
      <w:pgSz w:w="11906" w:h="16838" w:code="9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E7C55" w14:textId="77777777" w:rsidR="00813E03" w:rsidRDefault="00813E03" w:rsidP="002A2313">
      <w:r>
        <w:separator/>
      </w:r>
    </w:p>
  </w:endnote>
  <w:endnote w:type="continuationSeparator" w:id="0">
    <w:p w14:paraId="074EEDC3" w14:textId="77777777" w:rsidR="00813E03" w:rsidRDefault="00813E03" w:rsidP="002A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9DD76" w14:textId="1FAFB93E" w:rsidR="00F67E97" w:rsidRDefault="00163581">
    <w:pPr>
      <w:pStyle w:val="Pieddepage"/>
    </w:pPr>
    <w:r>
      <w:rPr>
        <w:noProof/>
      </w:rPr>
      <w:drawing>
        <wp:inline distT="0" distB="0" distL="0" distR="0" wp14:anchorId="63021D90" wp14:editId="633508C2">
          <wp:extent cx="770255" cy="39052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107" cy="41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7E97" w:rsidRPr="00723DC5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5E59D3A6" wp14:editId="2FD53408">
          <wp:simplePos x="0" y="0"/>
          <wp:positionH relativeFrom="margin">
            <wp:posOffset>2257425</wp:posOffset>
          </wp:positionH>
          <wp:positionV relativeFrom="margin">
            <wp:posOffset>8545195</wp:posOffset>
          </wp:positionV>
          <wp:extent cx="829945" cy="523875"/>
          <wp:effectExtent l="0" t="0" r="0" b="0"/>
          <wp:wrapSquare wrapText="bothSides"/>
          <wp:docPr id="1" name="Image 1" descr="C:\Users\user\Desktop\dali\notr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dali\notre 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7E97">
      <w:ptab w:relativeTo="margin" w:alignment="center" w:leader="none"/>
    </w:r>
    <w:r w:rsidR="00F67E97">
      <w:ptab w:relativeTo="margin" w:alignment="right" w:leader="none"/>
    </w:r>
    <w:r w:rsidRPr="00723DC5">
      <w:rPr>
        <w:noProof/>
      </w:rPr>
      <w:drawing>
        <wp:inline distT="0" distB="0" distL="0" distR="0" wp14:anchorId="33623433" wp14:editId="5979569A">
          <wp:extent cx="476250" cy="527566"/>
          <wp:effectExtent l="0" t="0" r="0" b="0"/>
          <wp:docPr id="4" name="Image 1" descr="F:\projets 2020\OXFAM\Oxfam_logo_vertical_vert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rojets 2020\OXFAM\Oxfam_logo_vertical_vert_JPG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861" cy="5304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5A221" w14:textId="77777777" w:rsidR="00813E03" w:rsidRDefault="00813E03" w:rsidP="002A2313">
      <w:bookmarkStart w:id="0" w:name="_Hlk56000547"/>
      <w:bookmarkEnd w:id="0"/>
      <w:r>
        <w:separator/>
      </w:r>
    </w:p>
  </w:footnote>
  <w:footnote w:type="continuationSeparator" w:id="0">
    <w:p w14:paraId="39560403" w14:textId="77777777" w:rsidR="00813E03" w:rsidRDefault="00813E03" w:rsidP="002A2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432D6" w14:textId="64B2116F" w:rsidR="002A2313" w:rsidRDefault="00F67E97" w:rsidP="00723DC5">
    <w:pPr>
      <w:pStyle w:val="En-tte"/>
    </w:pPr>
    <w:r>
      <w:rPr>
        <w:noProof/>
      </w:rPr>
      <w:drawing>
        <wp:inline distT="0" distB="0" distL="0" distR="0" wp14:anchorId="1E53C9D6" wp14:editId="0F72C98C">
          <wp:extent cx="1096745" cy="6858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797" cy="692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2313" w:rsidRPr="00723DC5">
      <w:rPr>
        <w:b/>
        <w:bCs/>
      </w:rPr>
      <w:ptab w:relativeTo="margin" w:alignment="center" w:leader="none"/>
    </w:r>
    <w:r w:rsidR="00723DC5" w:rsidRPr="00723DC5">
      <w:rPr>
        <w:b/>
        <w:bCs/>
      </w:rPr>
      <w:t>Recrutement Tunisie</w:t>
    </w:r>
    <w:r w:rsidR="002A2313" w:rsidRPr="00723DC5">
      <w:rPr>
        <w:b/>
        <w:b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8F10E5"/>
    <w:multiLevelType w:val="hybridMultilevel"/>
    <w:tmpl w:val="05B656EC"/>
    <w:lvl w:ilvl="0" w:tplc="162E6C1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43F4D"/>
    <w:multiLevelType w:val="hybridMultilevel"/>
    <w:tmpl w:val="6BDC4F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3740E"/>
    <w:multiLevelType w:val="hybridMultilevel"/>
    <w:tmpl w:val="0002A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720EF"/>
    <w:multiLevelType w:val="hybridMultilevel"/>
    <w:tmpl w:val="9A54F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773"/>
    <w:rsid w:val="000A19BD"/>
    <w:rsid w:val="000C51A1"/>
    <w:rsid w:val="00163581"/>
    <w:rsid w:val="00187A60"/>
    <w:rsid w:val="001A72C8"/>
    <w:rsid w:val="002241E1"/>
    <w:rsid w:val="00272CBD"/>
    <w:rsid w:val="002A2313"/>
    <w:rsid w:val="0046315A"/>
    <w:rsid w:val="004A02E4"/>
    <w:rsid w:val="004C6B70"/>
    <w:rsid w:val="00504D7A"/>
    <w:rsid w:val="00543ACA"/>
    <w:rsid w:val="005C5519"/>
    <w:rsid w:val="00642696"/>
    <w:rsid w:val="006A0F1B"/>
    <w:rsid w:val="00710952"/>
    <w:rsid w:val="00723DC5"/>
    <w:rsid w:val="0075069E"/>
    <w:rsid w:val="007C3405"/>
    <w:rsid w:val="007E2995"/>
    <w:rsid w:val="00813E03"/>
    <w:rsid w:val="00870AF7"/>
    <w:rsid w:val="0092514A"/>
    <w:rsid w:val="00A37DD7"/>
    <w:rsid w:val="00AB240F"/>
    <w:rsid w:val="00B442B5"/>
    <w:rsid w:val="00B76ACD"/>
    <w:rsid w:val="00C03451"/>
    <w:rsid w:val="00C541E8"/>
    <w:rsid w:val="00CD2435"/>
    <w:rsid w:val="00D65C62"/>
    <w:rsid w:val="00DA7448"/>
    <w:rsid w:val="00DC1F05"/>
    <w:rsid w:val="00DD3833"/>
    <w:rsid w:val="00E077CE"/>
    <w:rsid w:val="00EE1126"/>
    <w:rsid w:val="00EF7773"/>
    <w:rsid w:val="00F33D72"/>
    <w:rsid w:val="00F37CD6"/>
    <w:rsid w:val="00F64F8F"/>
    <w:rsid w:val="00F6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ADB93"/>
  <w15:docId w15:val="{D2F5AD37-009C-4BBE-8CE9-DE3B4ACF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1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AB240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A2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2313"/>
  </w:style>
  <w:style w:type="paragraph" w:styleId="Pieddepage">
    <w:name w:val="footer"/>
    <w:basedOn w:val="Normal"/>
    <w:link w:val="PieddepageCar"/>
    <w:uiPriority w:val="99"/>
    <w:unhideWhenUsed/>
    <w:rsid w:val="002A2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313"/>
  </w:style>
  <w:style w:type="table" w:styleId="Grilledutableau">
    <w:name w:val="Table Grid"/>
    <w:basedOn w:val="TableauNormal"/>
    <w:uiPriority w:val="59"/>
    <w:rsid w:val="00187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7A6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187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807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31</cp:revision>
  <dcterms:created xsi:type="dcterms:W3CDTF">2020-08-02T05:22:00Z</dcterms:created>
  <dcterms:modified xsi:type="dcterms:W3CDTF">2020-11-11T15:23:00Z</dcterms:modified>
</cp:coreProperties>
</file>