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7F8F5" w14:textId="77777777" w:rsidR="00E3358B" w:rsidRDefault="00E3358B">
      <w:r>
        <w:rPr>
          <w:noProof/>
          <w:lang w:eastAsia="fr-FR"/>
        </w:rPr>
        <w:drawing>
          <wp:anchor distT="0" distB="0" distL="114300" distR="114300" simplePos="0" relativeHeight="251658240" behindDoc="1" locked="0" layoutInCell="1" allowOverlap="1" wp14:anchorId="0CFB4344" wp14:editId="1E5033FD">
            <wp:simplePos x="0" y="0"/>
            <wp:positionH relativeFrom="column">
              <wp:posOffset>5424805</wp:posOffset>
            </wp:positionH>
            <wp:positionV relativeFrom="paragraph">
              <wp:posOffset>2540</wp:posOffset>
            </wp:positionV>
            <wp:extent cx="532130" cy="1421765"/>
            <wp:effectExtent l="0" t="0" r="1270" b="6985"/>
            <wp:wrapTight wrapText="bothSides">
              <wp:wrapPolygon edited="0">
                <wp:start x="0" y="0"/>
                <wp:lineTo x="0" y="21417"/>
                <wp:lineTo x="20878" y="21417"/>
                <wp:lineTo x="2087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UD_Logo-Bleu-Tagline-Ble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130" cy="1421765"/>
                    </a:xfrm>
                    <a:prstGeom prst="rect">
                      <a:avLst/>
                    </a:prstGeom>
                  </pic:spPr>
                </pic:pic>
              </a:graphicData>
            </a:graphic>
            <wp14:sizeRelH relativeFrom="page">
              <wp14:pctWidth>0</wp14:pctWidth>
            </wp14:sizeRelH>
            <wp14:sizeRelV relativeFrom="page">
              <wp14:pctHeight>0</wp14:pctHeight>
            </wp14:sizeRelV>
          </wp:anchor>
        </w:drawing>
      </w:r>
    </w:p>
    <w:p w14:paraId="7536A2FF" w14:textId="77777777" w:rsidR="00E3358B" w:rsidRPr="00E3358B" w:rsidRDefault="00E3358B">
      <w:pPr>
        <w:rPr>
          <w:b/>
          <w:bCs/>
          <w:smallCaps/>
          <w:color w:val="0070C0"/>
          <w:sz w:val="36"/>
          <w:szCs w:val="36"/>
        </w:rPr>
      </w:pPr>
      <w:r w:rsidRPr="00E3358B">
        <w:rPr>
          <w:b/>
          <w:bCs/>
          <w:smallCaps/>
          <w:color w:val="0070C0"/>
          <w:sz w:val="36"/>
          <w:szCs w:val="36"/>
        </w:rPr>
        <w:t>Communiqué de Presse</w:t>
      </w:r>
    </w:p>
    <w:p w14:paraId="4C18023A" w14:textId="77777777" w:rsidR="00E3358B" w:rsidRDefault="00E3358B"/>
    <w:p w14:paraId="501A52FF" w14:textId="77777777" w:rsidR="00F82719" w:rsidRPr="00E3358B" w:rsidRDefault="00A44B3D" w:rsidP="00E3358B">
      <w:pPr>
        <w:jc w:val="center"/>
        <w:rPr>
          <w:b/>
          <w:bCs/>
          <w:smallCaps/>
        </w:rPr>
      </w:pPr>
      <w:r w:rsidRPr="00E3358B">
        <w:rPr>
          <w:b/>
          <w:bCs/>
          <w:smallCaps/>
          <w:sz w:val="28"/>
          <w:szCs w:val="28"/>
        </w:rPr>
        <w:t>Lancement du Programme « Ennajjah Machrouii </w:t>
      </w:r>
      <w:r w:rsidR="00DF0514">
        <w:rPr>
          <w:b/>
          <w:bCs/>
          <w:smallCaps/>
          <w:sz w:val="28"/>
          <w:szCs w:val="28"/>
        </w:rPr>
        <w:t>2016</w:t>
      </w:r>
      <w:r w:rsidRPr="00E3358B">
        <w:rPr>
          <w:b/>
          <w:bCs/>
          <w:smallCaps/>
          <w:sz w:val="28"/>
          <w:szCs w:val="28"/>
        </w:rPr>
        <w:t>»</w:t>
      </w:r>
    </w:p>
    <w:p w14:paraId="1CEED801" w14:textId="77777777" w:rsidR="00A44B3D" w:rsidRDefault="00A44B3D"/>
    <w:p w14:paraId="11E17043" w14:textId="77777777" w:rsidR="00E3358B" w:rsidRDefault="00E3358B" w:rsidP="00A44B3D">
      <w:pPr>
        <w:jc w:val="both"/>
      </w:pPr>
    </w:p>
    <w:p w14:paraId="109C8246" w14:textId="77777777" w:rsidR="00E3358B" w:rsidRDefault="00E3358B" w:rsidP="00A44B3D">
      <w:pPr>
        <w:jc w:val="both"/>
      </w:pPr>
    </w:p>
    <w:p w14:paraId="5F3E794A" w14:textId="30CBDD24" w:rsidR="00A44B3D" w:rsidRDefault="00A44B3D" w:rsidP="00EC0F23">
      <w:pPr>
        <w:jc w:val="both"/>
      </w:pPr>
      <w:r>
        <w:t>Dans le cadre du projet « </w:t>
      </w:r>
      <w:r w:rsidR="00DF0514">
        <w:t>Renforcement de l’écosystème entrepreneurial dans le Sud Tunisien</w:t>
      </w:r>
      <w:r>
        <w:t> », le Programme des Nations Unies pour le développement</w:t>
      </w:r>
      <w:r w:rsidR="00EC0F23">
        <w:t xml:space="preserve"> –</w:t>
      </w:r>
      <w:r w:rsidR="00EC0F23" w:rsidRPr="00EC0F23">
        <w:rPr>
          <w:b/>
          <w:bCs/>
        </w:rPr>
        <w:t>PNUD</w:t>
      </w:r>
      <w:r w:rsidR="00EC0F23">
        <w:t>-</w:t>
      </w:r>
      <w:r>
        <w:t xml:space="preserve"> en partenariat avec l’Office de Développement du Sud</w:t>
      </w:r>
      <w:r w:rsidR="00EC0F23">
        <w:t xml:space="preserve"> –</w:t>
      </w:r>
      <w:r w:rsidR="00EC0F23" w:rsidRPr="00EC0F23">
        <w:rPr>
          <w:b/>
          <w:bCs/>
        </w:rPr>
        <w:t>ODS</w:t>
      </w:r>
      <w:r w:rsidR="00EC0F23">
        <w:t>-</w:t>
      </w:r>
      <w:r w:rsidR="002E74F8">
        <w:t>, l</w:t>
      </w:r>
      <w:r w:rsidR="00EC0F23">
        <w:t>’Agence Nationale pour l’Emploi et le Travail Indépendant –</w:t>
      </w:r>
      <w:r w:rsidR="00EC0F23" w:rsidRPr="00EC0F23">
        <w:rPr>
          <w:b/>
          <w:bCs/>
        </w:rPr>
        <w:t>ANETI</w:t>
      </w:r>
      <w:r w:rsidR="00EC0F23">
        <w:t>- et la Banque Tunisienne de Solidarité –</w:t>
      </w:r>
      <w:r w:rsidR="00EC0F23" w:rsidRPr="00EC0F23">
        <w:rPr>
          <w:b/>
          <w:bCs/>
        </w:rPr>
        <w:t>BTS</w:t>
      </w:r>
      <w:r w:rsidR="00EC0F23">
        <w:t>-</w:t>
      </w:r>
      <w:r>
        <w:t xml:space="preserve"> et avec l’appui du Gouvernement Japonais entame le programme « </w:t>
      </w:r>
      <w:r w:rsidRPr="00311B41">
        <w:rPr>
          <w:b/>
          <w:bCs/>
          <w:i/>
          <w:iCs/>
        </w:rPr>
        <w:t>Ennajjah Machrouii</w:t>
      </w:r>
      <w:r>
        <w:t> </w:t>
      </w:r>
      <w:r w:rsidR="00EC0F23" w:rsidRPr="00EC0F23">
        <w:rPr>
          <w:b/>
          <w:bCs/>
          <w:i/>
          <w:iCs/>
        </w:rPr>
        <w:t>2016</w:t>
      </w:r>
      <w:r>
        <w:t xml:space="preserve">» avec le lancement de l’appel à </w:t>
      </w:r>
      <w:r w:rsidR="00EC0F23">
        <w:t>projets</w:t>
      </w:r>
      <w:r>
        <w:t xml:space="preserve"> du </w:t>
      </w:r>
      <w:r w:rsidR="00EC0F23" w:rsidRPr="005E7C6F">
        <w:rPr>
          <w:b/>
          <w:bCs/>
        </w:rPr>
        <w:t>26 Septembre</w:t>
      </w:r>
      <w:r w:rsidRPr="005E7C6F">
        <w:rPr>
          <w:b/>
          <w:bCs/>
        </w:rPr>
        <w:t xml:space="preserve"> au </w:t>
      </w:r>
      <w:r w:rsidR="00EC0F23" w:rsidRPr="005E7C6F">
        <w:rPr>
          <w:b/>
          <w:bCs/>
        </w:rPr>
        <w:t>14 Octobre</w:t>
      </w:r>
      <w:r w:rsidRPr="005E7C6F">
        <w:rPr>
          <w:b/>
          <w:bCs/>
        </w:rPr>
        <w:t xml:space="preserve"> 201</w:t>
      </w:r>
      <w:r w:rsidR="00EC0F23" w:rsidRPr="005E7C6F">
        <w:rPr>
          <w:b/>
          <w:bCs/>
        </w:rPr>
        <w:t>6</w:t>
      </w:r>
      <w:r>
        <w:t xml:space="preserve"> destiné aux jeunes diplômés, femmes et homme</w:t>
      </w:r>
      <w:r w:rsidR="00EC0F23">
        <w:t xml:space="preserve">s, des gouvernorats de Médenine, </w:t>
      </w:r>
      <w:r>
        <w:t>Tataouine,</w:t>
      </w:r>
      <w:r w:rsidR="00EC0F23">
        <w:t xml:space="preserve"> Tozeur et Kebili</w:t>
      </w:r>
      <w:r>
        <w:t xml:space="preserve"> </w:t>
      </w:r>
      <w:r w:rsidR="00EC0F23">
        <w:t>porteurs de projets d’entreprise</w:t>
      </w:r>
      <w:r>
        <w:t>.</w:t>
      </w:r>
    </w:p>
    <w:p w14:paraId="70AE4F67" w14:textId="1B42CEB4" w:rsidR="00EC0F23" w:rsidRDefault="00EC0F23" w:rsidP="00EC0F23">
      <w:pPr>
        <w:jc w:val="both"/>
      </w:pPr>
      <w:r>
        <w:t>Le programme vise à appuyer, lors d’une première étape, 200 jeunes diplômés, femmes et hommes (50 dans chaque Gouvernorat), présélectionnés suite à l’appel à candidature, à travers un programme d’accompagnement et de coaching pour la finalisation de leurs plans d’affaires et dossiers de création d’entreprises. Lors d’une seconde étape, 24 jeunes au moins, parmi les candidatures sélectionnées, pourront bénéficier d’un accompagnement et d’un appui financier, adossé à un financement bancaire, pour des projets dont la taille d’investissement est entre 20 mTND et 150 mTND.</w:t>
      </w:r>
    </w:p>
    <w:p w14:paraId="6C5EB923" w14:textId="11C05945" w:rsidR="005C0805" w:rsidRDefault="005C0805" w:rsidP="005E7C6F">
      <w:pPr>
        <w:jc w:val="both"/>
      </w:pPr>
      <w:r>
        <w:t>Pour plus d’information sur les critères d’éligibilité, de sélection et la modalité de retr</w:t>
      </w:r>
      <w:r w:rsidR="00311B41">
        <w:t>ait des dossiers de candidature</w:t>
      </w:r>
      <w:r>
        <w:t>, les candidat</w:t>
      </w:r>
      <w:r w:rsidR="00311B41">
        <w:t>(e)</w:t>
      </w:r>
      <w:r w:rsidR="005E7C6F">
        <w:t>s peuvent visiter le site</w:t>
      </w:r>
      <w:r>
        <w:t xml:space="preserve"> </w:t>
      </w:r>
      <w:r w:rsidR="005E7C6F">
        <w:t>du PNUD ou ceux des partenaires</w:t>
      </w:r>
      <w:r>
        <w:t> :</w:t>
      </w:r>
    </w:p>
    <w:p w14:paraId="08F154D3" w14:textId="6865F3E1" w:rsidR="005C0805" w:rsidRDefault="003273D0" w:rsidP="005E7C6F">
      <w:hyperlink r:id="rId9" w:history="1">
        <w:r w:rsidR="005E7C6F">
          <w:rPr>
            <w:rStyle w:val="Lienhypertexte"/>
          </w:rPr>
          <w:t xml:space="preserve">www.tn.undp.org </w:t>
        </w:r>
      </w:hyperlink>
    </w:p>
    <w:p w14:paraId="2A49F07B" w14:textId="77777777" w:rsidR="005E7C6F" w:rsidRDefault="003273D0" w:rsidP="005C0805">
      <w:pPr>
        <w:rPr>
          <w:rStyle w:val="Lienhypertexte"/>
        </w:rPr>
      </w:pPr>
      <w:hyperlink r:id="rId10" w:history="1">
        <w:r w:rsidR="005C0805" w:rsidRPr="009374B0">
          <w:rPr>
            <w:rStyle w:val="Lienhypertexte"/>
          </w:rPr>
          <w:t>www.ods.nat.tn</w:t>
        </w:r>
      </w:hyperlink>
    </w:p>
    <w:p w14:paraId="2D4FE5B7" w14:textId="2C3E1C43" w:rsidR="005C0805" w:rsidRDefault="005E7C6F" w:rsidP="005C0805">
      <w:r w:rsidRPr="005E7C6F">
        <w:rPr>
          <w:rStyle w:val="Lienhypertexte"/>
        </w:rPr>
        <w:t>www.emploi.nat.tn/</w:t>
      </w:r>
      <w:r w:rsidR="005C0805">
        <w:t xml:space="preserve"> </w:t>
      </w:r>
    </w:p>
    <w:p w14:paraId="6D2C66C2" w14:textId="2A6162B9" w:rsidR="005C0805" w:rsidRDefault="005C0805" w:rsidP="005E7C6F">
      <w:r>
        <w:t xml:space="preserve">Ou </w:t>
      </w:r>
      <w:r w:rsidR="005E7C6F">
        <w:t>retirer le dossier de candidature dans les institutions suivantes (du 26 Septembre au 14 octobre</w:t>
      </w:r>
      <w:r w:rsidR="004447C0">
        <w:t xml:space="preserve"> 2016</w:t>
      </w:r>
      <w:r w:rsidR="005E7C6F">
        <w:t xml:space="preserve">) </w:t>
      </w:r>
      <w:r>
        <w:t>:</w:t>
      </w:r>
    </w:p>
    <w:tbl>
      <w:tblPr>
        <w:tblStyle w:val="Grilledutableau"/>
        <w:tblW w:w="0" w:type="auto"/>
        <w:tblLook w:val="04A0" w:firstRow="1" w:lastRow="0" w:firstColumn="1" w:lastColumn="0" w:noHBand="0" w:noVBand="1"/>
      </w:tblPr>
      <w:tblGrid>
        <w:gridCol w:w="2265"/>
        <w:gridCol w:w="2265"/>
        <w:gridCol w:w="2266"/>
        <w:gridCol w:w="2266"/>
      </w:tblGrid>
      <w:tr w:rsidR="005E7C6F" w14:paraId="72385603" w14:textId="77777777" w:rsidTr="005E7C6F">
        <w:trPr>
          <w:trHeight w:val="565"/>
        </w:trPr>
        <w:tc>
          <w:tcPr>
            <w:tcW w:w="2265" w:type="dxa"/>
          </w:tcPr>
          <w:p w14:paraId="65F52F4F" w14:textId="55131671" w:rsidR="005E7C6F" w:rsidRDefault="005E7C6F" w:rsidP="005E7C6F">
            <w:pPr>
              <w:jc w:val="center"/>
            </w:pPr>
            <w:r>
              <w:t>Gouvernorat de Tozeur</w:t>
            </w:r>
          </w:p>
        </w:tc>
        <w:tc>
          <w:tcPr>
            <w:tcW w:w="2265" w:type="dxa"/>
          </w:tcPr>
          <w:p w14:paraId="79BEB11C" w14:textId="77777777" w:rsidR="005E7C6F" w:rsidRDefault="005E7C6F" w:rsidP="005E7C6F">
            <w:pPr>
              <w:jc w:val="center"/>
            </w:pPr>
            <w:r>
              <w:t xml:space="preserve">Gouvernorat de </w:t>
            </w:r>
          </w:p>
          <w:p w14:paraId="0A24C6C4" w14:textId="239D8931" w:rsidR="005E7C6F" w:rsidRDefault="005E7C6F" w:rsidP="005E7C6F">
            <w:pPr>
              <w:jc w:val="center"/>
            </w:pPr>
            <w:r>
              <w:t>Kébili</w:t>
            </w:r>
          </w:p>
        </w:tc>
        <w:tc>
          <w:tcPr>
            <w:tcW w:w="2266" w:type="dxa"/>
          </w:tcPr>
          <w:p w14:paraId="3FE9F13E" w14:textId="2ED0E028" w:rsidR="005E7C6F" w:rsidRDefault="005E7C6F" w:rsidP="005E7C6F">
            <w:pPr>
              <w:jc w:val="center"/>
            </w:pPr>
            <w:r>
              <w:t>Gouvernorat de Médenine</w:t>
            </w:r>
          </w:p>
        </w:tc>
        <w:tc>
          <w:tcPr>
            <w:tcW w:w="2266" w:type="dxa"/>
          </w:tcPr>
          <w:p w14:paraId="0CD8BF87" w14:textId="1E342125" w:rsidR="005E7C6F" w:rsidRDefault="005E7C6F" w:rsidP="005E7C6F">
            <w:pPr>
              <w:jc w:val="center"/>
            </w:pPr>
            <w:r>
              <w:t>Gouvernorat de Tataouine</w:t>
            </w:r>
          </w:p>
        </w:tc>
      </w:tr>
      <w:tr w:rsidR="005E7C6F" w:rsidRPr="00B559A2" w14:paraId="1199D1D2" w14:textId="77777777" w:rsidTr="005E7C6F">
        <w:tc>
          <w:tcPr>
            <w:tcW w:w="2265" w:type="dxa"/>
          </w:tcPr>
          <w:p w14:paraId="50E84E46" w14:textId="5B80DD6C" w:rsidR="005E7C6F" w:rsidRDefault="005E7C6F" w:rsidP="005E7C6F">
            <w:r>
              <w:t>Espace Entreprendre</w:t>
            </w:r>
          </w:p>
          <w:p w14:paraId="25206E9A" w14:textId="72A70D0D" w:rsidR="005E7C6F" w:rsidRDefault="005E7C6F" w:rsidP="00B559A2">
            <w:r>
              <w:t>BETI Nefta</w:t>
            </w:r>
          </w:p>
          <w:p w14:paraId="70DCA3B2" w14:textId="77777777" w:rsidR="005E7C6F" w:rsidRDefault="005E7C6F" w:rsidP="005E7C6F">
            <w:r>
              <w:t>BETI Tameghza</w:t>
            </w:r>
          </w:p>
          <w:p w14:paraId="7648A53A" w14:textId="79BB5884" w:rsidR="005E7C6F" w:rsidRDefault="005E7C6F" w:rsidP="005E7C6F">
            <w:r>
              <w:t>BETI Degache</w:t>
            </w:r>
          </w:p>
        </w:tc>
        <w:tc>
          <w:tcPr>
            <w:tcW w:w="2265" w:type="dxa"/>
          </w:tcPr>
          <w:p w14:paraId="34409F69" w14:textId="77777777" w:rsidR="005E7C6F" w:rsidRDefault="005E7C6F" w:rsidP="005E7C6F">
            <w:r>
              <w:t>Espace Entreprendre</w:t>
            </w:r>
          </w:p>
          <w:p w14:paraId="5BF790E3" w14:textId="2E304EF2" w:rsidR="005E7C6F" w:rsidRDefault="005E7C6F" w:rsidP="005E7C6F">
            <w:r>
              <w:t>BETI Douz</w:t>
            </w:r>
          </w:p>
        </w:tc>
        <w:tc>
          <w:tcPr>
            <w:tcW w:w="2266" w:type="dxa"/>
          </w:tcPr>
          <w:p w14:paraId="0E515E8D" w14:textId="77777777" w:rsidR="005E7C6F" w:rsidRDefault="005E7C6F" w:rsidP="005E7C6F">
            <w:r>
              <w:t>Espace Entreprendre</w:t>
            </w:r>
          </w:p>
          <w:p w14:paraId="7065DD59" w14:textId="77777777" w:rsidR="005E7C6F" w:rsidRDefault="005E7C6F" w:rsidP="005E7C6F">
            <w:r>
              <w:t>BETI Benguerdane</w:t>
            </w:r>
          </w:p>
          <w:p w14:paraId="333860EA" w14:textId="77777777" w:rsidR="005E7C6F" w:rsidRDefault="005E7C6F" w:rsidP="005E7C6F">
            <w:r>
              <w:t>BETI Djerba</w:t>
            </w:r>
          </w:p>
          <w:p w14:paraId="437E472E" w14:textId="0D6F2447" w:rsidR="005E7C6F" w:rsidRDefault="005E7C6F" w:rsidP="005E7C6F">
            <w:r>
              <w:t>BETI Zarzis</w:t>
            </w:r>
          </w:p>
        </w:tc>
        <w:tc>
          <w:tcPr>
            <w:tcW w:w="2266" w:type="dxa"/>
          </w:tcPr>
          <w:p w14:paraId="7BCF6233" w14:textId="77777777" w:rsidR="005E7C6F" w:rsidRPr="00B559A2" w:rsidRDefault="005E7C6F" w:rsidP="005E7C6F">
            <w:pPr>
              <w:rPr>
                <w:lang w:val="en-US"/>
              </w:rPr>
            </w:pPr>
            <w:r w:rsidRPr="00B559A2">
              <w:rPr>
                <w:lang w:val="en-US"/>
              </w:rPr>
              <w:t>BETI Tataouine</w:t>
            </w:r>
          </w:p>
          <w:p w14:paraId="7014AA5A" w14:textId="77777777" w:rsidR="005E7C6F" w:rsidRPr="00B559A2" w:rsidRDefault="005E7C6F" w:rsidP="005E7C6F">
            <w:pPr>
              <w:rPr>
                <w:lang w:val="en-US"/>
              </w:rPr>
            </w:pPr>
            <w:r w:rsidRPr="00B559A2">
              <w:rPr>
                <w:lang w:val="en-US"/>
              </w:rPr>
              <w:t>BETI Ghomrassen</w:t>
            </w:r>
          </w:p>
          <w:p w14:paraId="5E7D8D12" w14:textId="78344345" w:rsidR="005E7C6F" w:rsidRPr="00B559A2" w:rsidRDefault="005E7C6F" w:rsidP="005E7C6F">
            <w:pPr>
              <w:rPr>
                <w:lang w:val="en-US"/>
              </w:rPr>
            </w:pPr>
            <w:r w:rsidRPr="00B559A2">
              <w:rPr>
                <w:lang w:val="en-US"/>
              </w:rPr>
              <w:t>BETI Remada</w:t>
            </w:r>
          </w:p>
        </w:tc>
      </w:tr>
    </w:tbl>
    <w:p w14:paraId="4F3A5C7F" w14:textId="0DACAE40" w:rsidR="00E3358B" w:rsidRPr="00B559A2" w:rsidRDefault="00B559A2" w:rsidP="005E7C6F">
      <w:r>
        <w:t>BETI : Bureau de l’Emploi et du Travail Indépendant</w:t>
      </w:r>
      <w:bookmarkStart w:id="0" w:name="_GoBack"/>
      <w:bookmarkEnd w:id="0"/>
    </w:p>
    <w:sectPr w:rsidR="00E3358B" w:rsidRPr="00B559A2" w:rsidSect="00E3358B">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50EA9" w14:textId="77777777" w:rsidR="003273D0" w:rsidRDefault="003273D0" w:rsidP="005E7C6F">
      <w:pPr>
        <w:spacing w:after="0" w:line="240" w:lineRule="auto"/>
      </w:pPr>
      <w:r>
        <w:separator/>
      </w:r>
    </w:p>
  </w:endnote>
  <w:endnote w:type="continuationSeparator" w:id="0">
    <w:p w14:paraId="6B07BEAB" w14:textId="77777777" w:rsidR="003273D0" w:rsidRDefault="003273D0" w:rsidP="005E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7DBC6" w14:textId="77777777" w:rsidR="003273D0" w:rsidRDefault="003273D0" w:rsidP="005E7C6F">
      <w:pPr>
        <w:spacing w:after="0" w:line="240" w:lineRule="auto"/>
      </w:pPr>
      <w:r>
        <w:separator/>
      </w:r>
    </w:p>
  </w:footnote>
  <w:footnote w:type="continuationSeparator" w:id="0">
    <w:p w14:paraId="03CC6D9B" w14:textId="77777777" w:rsidR="003273D0" w:rsidRDefault="003273D0" w:rsidP="005E7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94747"/>
    <w:multiLevelType w:val="hybridMultilevel"/>
    <w:tmpl w:val="CEF2CE96"/>
    <w:lvl w:ilvl="0" w:tplc="FF446E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3D"/>
    <w:rsid w:val="002E74F8"/>
    <w:rsid w:val="00311B41"/>
    <w:rsid w:val="003257DD"/>
    <w:rsid w:val="003273D0"/>
    <w:rsid w:val="004447C0"/>
    <w:rsid w:val="004A2533"/>
    <w:rsid w:val="005C0805"/>
    <w:rsid w:val="005E7C6F"/>
    <w:rsid w:val="0065751C"/>
    <w:rsid w:val="007B6E9F"/>
    <w:rsid w:val="00A44B3D"/>
    <w:rsid w:val="00B559A2"/>
    <w:rsid w:val="00CA79EA"/>
    <w:rsid w:val="00DF0514"/>
    <w:rsid w:val="00E3358B"/>
    <w:rsid w:val="00EC0F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5DD3"/>
  <w15:chartTrackingRefBased/>
  <w15:docId w15:val="{DFAB2C70-FA7A-4079-A2B9-C74EC1BD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805"/>
    <w:rPr>
      <w:color w:val="0563C1" w:themeColor="hyperlink"/>
      <w:u w:val="single"/>
    </w:rPr>
  </w:style>
  <w:style w:type="paragraph" w:styleId="Paragraphedeliste">
    <w:name w:val="List Paragraph"/>
    <w:basedOn w:val="Normal"/>
    <w:uiPriority w:val="34"/>
    <w:qFormat/>
    <w:rsid w:val="005C0805"/>
    <w:pPr>
      <w:ind w:left="720"/>
      <w:contextualSpacing/>
    </w:pPr>
  </w:style>
  <w:style w:type="table" w:styleId="Grilledutableau">
    <w:name w:val="Table Grid"/>
    <w:basedOn w:val="TableauNormal"/>
    <w:uiPriority w:val="39"/>
    <w:rsid w:val="005E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5E7C6F"/>
    <w:pPr>
      <w:spacing w:after="0" w:line="240" w:lineRule="auto"/>
    </w:pPr>
    <w:rPr>
      <w:sz w:val="24"/>
      <w:szCs w:val="24"/>
    </w:rPr>
  </w:style>
  <w:style w:type="character" w:customStyle="1" w:styleId="NotedebasdepageCar">
    <w:name w:val="Note de bas de page Car"/>
    <w:basedOn w:val="Policepardfaut"/>
    <w:link w:val="Notedebasdepage"/>
    <w:uiPriority w:val="99"/>
    <w:rsid w:val="005E7C6F"/>
    <w:rPr>
      <w:sz w:val="24"/>
      <w:szCs w:val="24"/>
    </w:rPr>
  </w:style>
  <w:style w:type="character" w:styleId="Appelnotedebasdep">
    <w:name w:val="footnote reference"/>
    <w:basedOn w:val="Policepardfaut"/>
    <w:uiPriority w:val="99"/>
    <w:unhideWhenUsed/>
    <w:rsid w:val="005E7C6F"/>
    <w:rPr>
      <w:vertAlign w:val="superscript"/>
    </w:rPr>
  </w:style>
  <w:style w:type="paragraph" w:styleId="Textedebulles">
    <w:name w:val="Balloon Text"/>
    <w:basedOn w:val="Normal"/>
    <w:link w:val="TextedebullesCar"/>
    <w:uiPriority w:val="99"/>
    <w:semiHidden/>
    <w:unhideWhenUsed/>
    <w:rsid w:val="00B559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5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ds.nat.tn" TargetMode="External"/><Relationship Id="rId4" Type="http://schemas.openxmlformats.org/officeDocument/2006/relationships/settings" Target="settings.xml"/><Relationship Id="rId9" Type="http://schemas.openxmlformats.org/officeDocument/2006/relationships/hyperlink" Target="http://www.emplois-sudes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93B221-119D-4DB8-82BD-5A253C0B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Madhkour</dc:creator>
  <cp:keywords/>
  <dc:description/>
  <cp:lastModifiedBy>Nadia Khammari</cp:lastModifiedBy>
  <cp:revision>2</cp:revision>
  <cp:lastPrinted>2016-09-16T09:43:00Z</cp:lastPrinted>
  <dcterms:created xsi:type="dcterms:W3CDTF">2016-09-16T10:21:00Z</dcterms:created>
  <dcterms:modified xsi:type="dcterms:W3CDTF">2016-09-16T10:21:00Z</dcterms:modified>
</cp:coreProperties>
</file>